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2F9" w:rsidRPr="00952545" w:rsidRDefault="00BE12F9" w:rsidP="00BE12F9">
      <w:pPr>
        <w:tabs>
          <w:tab w:val="right" w:pos="9639"/>
        </w:tabs>
        <w:spacing w:after="60"/>
        <w:rPr>
          <w:rFonts w:ascii="Arial" w:eastAsia="MS Mincho" w:hAnsi="Arial"/>
          <w:b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52545">
        <w:rPr>
          <w:rFonts w:ascii="Arial" w:hAnsi="Arial"/>
          <w:b/>
          <w:lang w:val="en-US"/>
        </w:rPr>
        <w:t>3GPP TSG RAN WG</w:t>
      </w:r>
      <w:r>
        <w:rPr>
          <w:rFonts w:ascii="Arial" w:hAnsi="Arial"/>
          <w:b/>
          <w:lang w:val="en-US"/>
        </w:rPr>
        <w:t>1</w:t>
      </w:r>
      <w:r w:rsidRPr="00952545">
        <w:rPr>
          <w:rFonts w:ascii="Arial" w:hAnsi="Arial"/>
          <w:b/>
          <w:lang w:val="en-US"/>
        </w:rPr>
        <w:t xml:space="preserve"> Meeting #</w:t>
      </w:r>
      <w:r w:rsidR="00525078">
        <w:rPr>
          <w:rFonts w:ascii="Arial" w:hAnsi="Arial"/>
          <w:b/>
          <w:lang w:val="en-US"/>
        </w:rPr>
        <w:t>96</w:t>
      </w:r>
      <w:r w:rsidR="002D5E10">
        <w:rPr>
          <w:rFonts w:ascii="Arial" w:hAnsi="Arial"/>
          <w:b/>
          <w:lang w:val="en-US"/>
        </w:rPr>
        <w:t xml:space="preserve"> </w:t>
      </w:r>
      <w:r w:rsidR="002D5E10">
        <w:rPr>
          <w:rFonts w:ascii="Arial" w:hAnsi="Arial"/>
          <w:b/>
          <w:lang w:val="en-US"/>
        </w:rPr>
        <w:tab/>
      </w:r>
      <w:r w:rsidR="00525078" w:rsidRPr="001B651E">
        <w:rPr>
          <w:b/>
          <w:lang w:val="en-US"/>
        </w:rPr>
        <w:t>R1-</w:t>
      </w:r>
      <w:r w:rsidR="001B651E" w:rsidRPr="001B651E">
        <w:rPr>
          <w:b/>
          <w:lang w:val="en-US"/>
        </w:rPr>
        <w:t>1903148</w:t>
      </w:r>
    </w:p>
    <w:p w:rsidR="00BE12F9" w:rsidRPr="00F97042" w:rsidRDefault="00525078" w:rsidP="00BE12F9">
      <w:pPr>
        <w:rPr>
          <w:rFonts w:ascii="Arial" w:hAnsi="Arial"/>
          <w:b/>
          <w:lang w:val="en-AU"/>
        </w:rPr>
      </w:pPr>
      <w:r>
        <w:rPr>
          <w:rFonts w:ascii="Arial" w:hAnsi="Arial"/>
          <w:b/>
          <w:lang w:val="en-AU"/>
        </w:rPr>
        <w:t>Athens/Greece</w:t>
      </w:r>
      <w:r w:rsidR="00BE12F9">
        <w:rPr>
          <w:rFonts w:ascii="Arial" w:hAnsi="Arial"/>
          <w:b/>
          <w:lang w:val="en-AU"/>
        </w:rPr>
        <w:t>,</w:t>
      </w:r>
      <w:r w:rsidR="00BE12F9" w:rsidRPr="00F02F65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 xml:space="preserve">25 Feb </w:t>
      </w:r>
      <w:r w:rsidR="00BE12F9">
        <w:rPr>
          <w:rFonts w:ascii="Arial" w:hAnsi="Arial"/>
          <w:b/>
          <w:lang w:val="en-AU"/>
        </w:rPr>
        <w:t>-</w:t>
      </w:r>
      <w:r>
        <w:rPr>
          <w:rFonts w:ascii="Arial" w:hAnsi="Arial"/>
          <w:b/>
          <w:lang w:val="en-AU"/>
        </w:rPr>
        <w:t xml:space="preserve"> 1</w:t>
      </w:r>
      <w:r w:rsidR="00BE12F9">
        <w:rPr>
          <w:rFonts w:ascii="Arial" w:hAnsi="Arial"/>
          <w:b/>
          <w:lang w:val="en-AU"/>
        </w:rPr>
        <w:t xml:space="preserve"> </w:t>
      </w:r>
      <w:r>
        <w:rPr>
          <w:rFonts w:ascii="Arial" w:hAnsi="Arial"/>
          <w:b/>
          <w:lang w:val="en-AU"/>
        </w:rPr>
        <w:t>March</w:t>
      </w:r>
      <w:r w:rsidR="00BE12F9" w:rsidRPr="00F365C0">
        <w:rPr>
          <w:rFonts w:ascii="Arial" w:hAnsi="Arial"/>
          <w:b/>
          <w:lang w:val="en-AU"/>
        </w:rPr>
        <w:t xml:space="preserve"> </w:t>
      </w:r>
      <w:r w:rsidR="00BE12F9" w:rsidRPr="00D976C8">
        <w:rPr>
          <w:rFonts w:ascii="Arial" w:hAnsi="Arial"/>
          <w:b/>
          <w:lang w:val="en-AU"/>
        </w:rPr>
        <w:t>201</w:t>
      </w:r>
      <w:r>
        <w:rPr>
          <w:rFonts w:ascii="Arial" w:hAnsi="Arial"/>
          <w:b/>
          <w:lang w:val="en-AU"/>
        </w:rPr>
        <w:t>9</w:t>
      </w:r>
    </w:p>
    <w:p w:rsidR="00BE12F9" w:rsidRPr="00952545" w:rsidRDefault="00BE12F9" w:rsidP="00BE12F9">
      <w:pPr>
        <w:tabs>
          <w:tab w:val="left" w:pos="1800"/>
        </w:tabs>
        <w:spacing w:after="60"/>
        <w:ind w:left="1800" w:hanging="1800"/>
        <w:rPr>
          <w:b/>
          <w:sz w:val="24"/>
          <w:lang w:val="en-US"/>
        </w:rPr>
      </w:pPr>
      <w:r w:rsidRPr="00952545">
        <w:rPr>
          <w:b/>
          <w:color w:val="000000"/>
          <w:sz w:val="24"/>
          <w:lang w:val="en-US"/>
        </w:rPr>
        <w:t>Title:</w:t>
      </w:r>
      <w:r w:rsidRPr="00952545">
        <w:rPr>
          <w:b/>
          <w:color w:val="000000"/>
          <w:sz w:val="24"/>
          <w:lang w:val="en-US"/>
        </w:rPr>
        <w:tab/>
      </w:r>
      <w:r w:rsidR="00525078">
        <w:rPr>
          <w:b/>
          <w:color w:val="000000"/>
          <w:sz w:val="24"/>
          <w:lang w:val="en-US"/>
        </w:rPr>
        <w:t>Timing alignment in NTN</w:t>
      </w:r>
    </w:p>
    <w:p w:rsidR="00BE12F9" w:rsidRPr="00952545" w:rsidRDefault="00BE12F9" w:rsidP="00BE12F9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952545">
        <w:rPr>
          <w:b/>
          <w:sz w:val="24"/>
          <w:lang w:val="en-US"/>
        </w:rPr>
        <w:t xml:space="preserve">Source: </w:t>
      </w:r>
      <w:r w:rsidRPr="00952545">
        <w:rPr>
          <w:b/>
          <w:sz w:val="24"/>
          <w:lang w:val="en-US"/>
        </w:rPr>
        <w:tab/>
        <w:t xml:space="preserve">Thales </w:t>
      </w:r>
    </w:p>
    <w:p w:rsidR="00BE12F9" w:rsidRPr="00952545" w:rsidRDefault="00BE12F9" w:rsidP="00BE12F9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952545">
        <w:rPr>
          <w:b/>
          <w:sz w:val="24"/>
          <w:lang w:val="en-US"/>
        </w:rPr>
        <w:t>Type:</w:t>
      </w:r>
      <w:r w:rsidRPr="00952545">
        <w:rPr>
          <w:b/>
          <w:sz w:val="24"/>
          <w:lang w:val="en-US"/>
        </w:rPr>
        <w:tab/>
        <w:t>Discussion</w:t>
      </w:r>
    </w:p>
    <w:p w:rsidR="00BE12F9" w:rsidRPr="00952545" w:rsidRDefault="00BE12F9" w:rsidP="00BE12F9">
      <w:pPr>
        <w:tabs>
          <w:tab w:val="left" w:pos="1800"/>
        </w:tabs>
        <w:spacing w:after="60"/>
        <w:rPr>
          <w:b/>
          <w:sz w:val="24"/>
          <w:lang w:val="en-US"/>
        </w:rPr>
      </w:pPr>
      <w:r w:rsidRPr="00952545">
        <w:rPr>
          <w:b/>
          <w:sz w:val="24"/>
          <w:lang w:val="en-US"/>
        </w:rPr>
        <w:t>Document for:</w:t>
      </w:r>
      <w:r w:rsidRPr="00952545"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>Information</w:t>
      </w:r>
      <w:r w:rsidRPr="00952545">
        <w:rPr>
          <w:b/>
          <w:sz w:val="24"/>
          <w:lang w:val="en-US"/>
        </w:rPr>
        <w:t xml:space="preserve"> </w:t>
      </w:r>
    </w:p>
    <w:p w:rsidR="00BE12F9" w:rsidRPr="00952545" w:rsidRDefault="00BE12F9" w:rsidP="00BE12F9">
      <w:pPr>
        <w:tabs>
          <w:tab w:val="left" w:pos="1800"/>
        </w:tabs>
        <w:spacing w:after="60"/>
        <w:rPr>
          <w:rFonts w:ascii="Arial" w:eastAsia="Batang" w:hAnsi="Arial" w:cs="Arial"/>
          <w:b/>
          <w:lang w:val="en-US" w:eastAsia="zh-CN"/>
        </w:rPr>
      </w:pPr>
      <w:r w:rsidRPr="00952545">
        <w:rPr>
          <w:b/>
          <w:sz w:val="24"/>
          <w:lang w:val="en-US"/>
        </w:rPr>
        <w:t>Agenda Item:</w:t>
      </w:r>
      <w:r w:rsidRPr="00952545">
        <w:rPr>
          <w:b/>
          <w:sz w:val="24"/>
          <w:lang w:val="en-US"/>
        </w:rPr>
        <w:tab/>
      </w:r>
      <w:r w:rsidR="001B651E" w:rsidRPr="001B651E">
        <w:rPr>
          <w:b/>
          <w:sz w:val="24"/>
          <w:lang w:val="en-US"/>
        </w:rPr>
        <w:t>7.3</w:t>
      </w:r>
    </w:p>
    <w:p w:rsidR="00BE12F9" w:rsidRPr="00952545" w:rsidRDefault="00BE12F9" w:rsidP="00BE12F9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  <w:r w:rsidRPr="00952545">
        <w:rPr>
          <w:rFonts w:ascii="Arial" w:eastAsia="Batang" w:hAnsi="Arial" w:cs="Arial"/>
          <w:b/>
          <w:lang w:val="en-US" w:eastAsia="zh-CN"/>
        </w:rPr>
        <w:t xml:space="preserve">Study Item: </w:t>
      </w:r>
      <w:r w:rsidRPr="00952545">
        <w:rPr>
          <w:rFonts w:ascii="Arial" w:eastAsia="Batang" w:hAnsi="Arial" w:cs="Arial"/>
          <w:b/>
          <w:lang w:val="en-US" w:eastAsia="zh-CN"/>
        </w:rPr>
        <w:tab/>
      </w:r>
      <w:proofErr w:type="spellStart"/>
      <w:r w:rsidRPr="00952545">
        <w:rPr>
          <w:rFonts w:ascii="Arial" w:eastAsia="Batang" w:hAnsi="Arial" w:cs="Arial"/>
          <w:b/>
          <w:lang w:val="en-US" w:eastAsia="zh-CN"/>
        </w:rPr>
        <w:t>FS_NR_NTN_solutions</w:t>
      </w:r>
      <w:proofErr w:type="spellEnd"/>
      <w:r w:rsidRPr="00952545">
        <w:rPr>
          <w:rFonts w:ascii="Arial" w:eastAsia="Batang" w:hAnsi="Arial" w:cs="Arial"/>
          <w:b/>
          <w:lang w:val="en-US" w:eastAsia="zh-CN"/>
        </w:rPr>
        <w:t>: Study on solutions for NR to support non-terrestrial networks (NTN)</w:t>
      </w:r>
    </w:p>
    <w:p w:rsidR="00BE12F9" w:rsidRPr="00952545" w:rsidRDefault="00BE12F9" w:rsidP="00BE12F9">
      <w:pPr>
        <w:tabs>
          <w:tab w:val="left" w:pos="1800"/>
        </w:tabs>
        <w:spacing w:after="60"/>
        <w:rPr>
          <w:rFonts w:eastAsia="MS Mincho"/>
          <w:b/>
          <w:sz w:val="24"/>
          <w:lang w:val="en-US"/>
        </w:rPr>
      </w:pPr>
    </w:p>
    <w:p w:rsidR="00BE12F9" w:rsidRPr="008B4565" w:rsidRDefault="00BE12F9" w:rsidP="00BE12F9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iCs/>
          <w:sz w:val="36"/>
          <w:lang w:val="en-US" w:eastAsia="ja-JP"/>
        </w:rPr>
      </w:pPr>
      <w:bookmarkStart w:id="11" w:name="OLE_LINK1"/>
      <w:bookmarkStart w:id="12" w:name="OLE_LINK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B4565">
        <w:rPr>
          <w:rFonts w:ascii="Arial" w:eastAsia="MS Mincho" w:hAnsi="Arial" w:cs="Arial"/>
          <w:b w:val="0"/>
          <w:sz w:val="36"/>
          <w:lang w:val="en-US" w:eastAsia="ja-JP"/>
        </w:rPr>
        <w:t>Introduction</w:t>
      </w:r>
    </w:p>
    <w:bookmarkEnd w:id="10"/>
    <w:bookmarkEnd w:id="11"/>
    <w:bookmarkEnd w:id="12"/>
    <w:p w:rsidR="000A116D" w:rsidRDefault="000A116D" w:rsidP="003442D2">
      <w:pPr>
        <w:jc w:val="both"/>
        <w:rPr>
          <w:lang w:val="en-GB"/>
        </w:rPr>
      </w:pPr>
      <w:r>
        <w:rPr>
          <w:lang w:val="en-GB"/>
        </w:rPr>
        <w:t xml:space="preserve">In June 2018, the study item “Study on NR to support non-terrestrial networks” was completed. </w:t>
      </w:r>
      <w:r w:rsidR="003442D2">
        <w:rPr>
          <w:lang w:val="en-GB"/>
        </w:rPr>
        <w:t>P</w:t>
      </w:r>
      <w:r>
        <w:rPr>
          <w:lang w:val="en-GB"/>
        </w:rPr>
        <w:t xml:space="preserve">otential impacts have been identified (see [1] for the full list) and solutions are currently investigated in the study item “Solutions on NR to support non-terrestrial networks”. From a RAN1 </w:t>
      </w:r>
      <w:proofErr w:type="gramStart"/>
      <w:r>
        <w:rPr>
          <w:lang w:val="en-GB"/>
        </w:rPr>
        <w:t>perspective</w:t>
      </w:r>
      <w:proofErr w:type="gramEnd"/>
      <w:r>
        <w:rPr>
          <w:lang w:val="en-GB"/>
        </w:rPr>
        <w:t>, TUs have been allocated starting from April 2019 to November 2019.</w:t>
      </w:r>
    </w:p>
    <w:p w:rsidR="00BE12F9" w:rsidRPr="00592DDD" w:rsidRDefault="00592DDD" w:rsidP="00592DDD">
      <w:pPr>
        <w:jc w:val="both"/>
        <w:rPr>
          <w:lang w:val="en-GB"/>
        </w:rPr>
      </w:pPr>
      <w:r>
        <w:rPr>
          <w:lang w:val="en-GB"/>
        </w:rPr>
        <w:t>This contribution focuses on the issue of timing alignment and uplink scheduling. Due to</w:t>
      </w:r>
      <w:r w:rsidR="00525078">
        <w:rPr>
          <w:lang w:val="en-GB"/>
        </w:rPr>
        <w:t xml:space="preserve"> </w:t>
      </w:r>
      <w:r w:rsidR="00B67C49">
        <w:rPr>
          <w:lang w:val="en-GB"/>
        </w:rPr>
        <w:t>larger</w:t>
      </w:r>
      <w:r w:rsidR="00525078">
        <w:rPr>
          <w:lang w:val="en-GB"/>
        </w:rPr>
        <w:t xml:space="preserve"> propagation delays</w:t>
      </w:r>
      <w:r>
        <w:rPr>
          <w:lang w:val="en-GB"/>
        </w:rPr>
        <w:t xml:space="preserve"> in NTN (</w:t>
      </w:r>
      <w:r w:rsidR="00B67C49">
        <w:rPr>
          <w:lang w:val="en-GB"/>
        </w:rPr>
        <w:t>with RTT up to 0.544s</w:t>
      </w:r>
      <w:r w:rsidR="00275837">
        <w:rPr>
          <w:lang w:val="en-GB"/>
        </w:rPr>
        <w:t xml:space="preserve"> in the GEO case</w:t>
      </w:r>
      <w:r>
        <w:rPr>
          <w:lang w:val="en-GB"/>
        </w:rPr>
        <w:t xml:space="preserve">) modifications of </w:t>
      </w:r>
      <w:r w:rsidR="00B67C49">
        <w:rPr>
          <w:lang w:val="en-GB"/>
        </w:rPr>
        <w:t xml:space="preserve">current </w:t>
      </w:r>
      <w:r w:rsidR="001D2770">
        <w:rPr>
          <w:lang w:val="en-GB"/>
        </w:rPr>
        <w:t>mechanism</w:t>
      </w:r>
      <w:r>
        <w:rPr>
          <w:lang w:val="en-GB"/>
        </w:rPr>
        <w:t>s</w:t>
      </w:r>
      <w:r w:rsidR="001D2770">
        <w:rPr>
          <w:lang w:val="en-GB"/>
        </w:rPr>
        <w:t xml:space="preserve"> </w:t>
      </w:r>
      <w:r>
        <w:rPr>
          <w:lang w:val="en-GB"/>
        </w:rPr>
        <w:t>are required</w:t>
      </w:r>
      <w:r w:rsidR="001D2770">
        <w:rPr>
          <w:lang w:val="en-GB"/>
        </w:rPr>
        <w:t>.</w:t>
      </w:r>
      <w:r w:rsidR="00B67C49">
        <w:rPr>
          <w:lang w:val="en-GB"/>
        </w:rPr>
        <w:t xml:space="preserve"> </w:t>
      </w:r>
    </w:p>
    <w:p w:rsidR="00F9620F" w:rsidRPr="00BE12F9" w:rsidRDefault="00B67C49" w:rsidP="00BE12F9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iCs/>
          <w:sz w:val="36"/>
          <w:lang w:val="en-US" w:eastAsia="ja-JP"/>
        </w:rPr>
      </w:pPr>
      <w:r>
        <w:rPr>
          <w:rFonts w:ascii="Arial" w:eastAsia="MS Mincho" w:hAnsi="Arial" w:cs="Arial"/>
          <w:b w:val="0"/>
          <w:sz w:val="36"/>
          <w:lang w:val="en-US" w:eastAsia="ja-JP"/>
        </w:rPr>
        <w:t>T</w:t>
      </w:r>
      <w:r w:rsidR="00525078">
        <w:rPr>
          <w:rFonts w:ascii="Arial" w:eastAsia="MS Mincho" w:hAnsi="Arial" w:cs="Arial"/>
          <w:b w:val="0"/>
          <w:sz w:val="36"/>
          <w:lang w:val="en-US" w:eastAsia="ja-JP"/>
        </w:rPr>
        <w:t>iming alignment and scheduling in 5G NR</w:t>
      </w:r>
    </w:p>
    <w:p w:rsidR="00C608A0" w:rsidRDefault="001D2770" w:rsidP="00C608A0">
      <w:pPr>
        <w:pStyle w:val="Titre2"/>
        <w:jc w:val="both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Timing alignment mechanism is described in [2]</w:t>
      </w:r>
      <w:r w:rsidR="00592DDD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. During the initial access procedure, timing advance is estimated b</w:t>
      </w:r>
      <w:r w:rsidR="00275837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y the </w:t>
      </w:r>
      <w:proofErr w:type="spellStart"/>
      <w:r w:rsidR="00275837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gNB</w:t>
      </w:r>
      <w:proofErr w:type="spellEnd"/>
      <w:r w:rsidR="00275837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and transmitted in</w:t>
      </w:r>
      <w:r w:rsidR="00592DDD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RAR message.</w:t>
      </w:r>
      <w:r w:rsidR="00C608A0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The maximum TA </w:t>
      </w:r>
      <w:r w:rsidR="00592DDD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</w:t>
      </w:r>
      <w:r w:rsidR="00275837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value is equal to 3846*16*64/</w:t>
      </w:r>
      <m:oMath>
        <m:sSup>
          <m:sSupPr>
            <m:ctrlPr>
              <w:rPr>
                <w:rFonts w:ascii="Cambria Math" w:eastAsiaTheme="minorHAnsi" w:hAnsi="Cambria Math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HAnsi" w:hAnsi="Cambria Math" w:cstheme="minorBidi"/>
                <w:color w:val="auto"/>
                <w:sz w:val="22"/>
                <w:szCs w:val="22"/>
                <w:lang w:val="en-GB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eastAsiaTheme="minorHAnsi" w:hAnsi="Cambria Math" w:cstheme="minorBidi"/>
                <w:color w:val="auto"/>
                <w:sz w:val="22"/>
                <w:szCs w:val="22"/>
                <w:lang w:val="en-GB"/>
              </w:rPr>
              <m:t>μ</m:t>
            </m:r>
          </m:sup>
        </m:sSup>
      </m:oMath>
      <w:r w:rsidR="00C608A0" w:rsidRPr="00C608A0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HAnsi" w:hAnsi="Cambria Math" w:cstheme="minorBidi"/>
                <w:b w:val="0"/>
                <w:bCs w:val="0"/>
                <w:color w:val="auto"/>
                <w:sz w:val="22"/>
                <w:szCs w:val="22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 w:hAnsi="Cambria Math" w:cstheme="minorBidi"/>
                <w:color w:val="auto"/>
                <w:sz w:val="22"/>
                <w:szCs w:val="22"/>
                <w:lang w:val="en-GB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HAnsi" w:hAnsi="Cambria Math" w:cstheme="minorBidi"/>
                <w:color w:val="auto"/>
                <w:sz w:val="22"/>
                <w:szCs w:val="22"/>
                <w:lang w:val="en-GB"/>
              </w:rPr>
              <m:t>c</m:t>
            </m:r>
          </m:sub>
        </m:sSub>
      </m:oMath>
      <w:r w:rsidR="00275837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, or </w:t>
      </w:r>
      <w:r w:rsidR="00C608A0" w:rsidRPr="00C608A0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[2,1,0.5,0.25,</w:t>
      </w:r>
      <w:r w:rsidR="00CE7D88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0.</w:t>
      </w:r>
      <w:r w:rsidR="00C608A0" w:rsidRPr="00C608A0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125]</w:t>
      </w:r>
      <w:proofErr w:type="spellStart"/>
      <w:r w:rsidR="00C608A0" w:rsidRPr="00C608A0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ms</w:t>
      </w:r>
      <w:proofErr w:type="spellEnd"/>
      <w:r w:rsidR="00C608A0" w:rsidRPr="00C608A0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for µ</w:t>
      </w:r>
      <w:r w:rsidR="0021284E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= [0,1,2,3,4],</w:t>
      </w:r>
      <w:r w:rsidR="00275837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respectively. These values are</w:t>
      </w:r>
      <w:r w:rsidR="0021284E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much smaller than propagation delays in both LEO and GEO cases.</w:t>
      </w:r>
    </w:p>
    <w:p w:rsidR="00C608A0" w:rsidRPr="00C608A0" w:rsidRDefault="00C608A0" w:rsidP="00C608A0">
      <w:pPr>
        <w:rPr>
          <w:lang w:val="en-GB"/>
        </w:rPr>
      </w:pPr>
    </w:p>
    <w:p w:rsidR="00C608A0" w:rsidRDefault="0021284E" w:rsidP="00C608A0">
      <w:pPr>
        <w:rPr>
          <w:lang w:val="en-GB"/>
        </w:rPr>
      </w:pPr>
      <w:r>
        <w:rPr>
          <w:lang w:val="en-GB"/>
        </w:rPr>
        <w:t>Uplink s</w:t>
      </w:r>
      <w:r w:rsidR="00C608A0">
        <w:rPr>
          <w:lang w:val="en-GB"/>
        </w:rPr>
        <w:t>cheduling</w:t>
      </w:r>
      <w:r>
        <w:rPr>
          <w:lang w:val="en-GB"/>
        </w:rPr>
        <w:t xml:space="preserve"> is described in Section 10.3 of [3] and uplink resource allocation in Section 6.1.2 of [4]. </w:t>
      </w:r>
      <w:r w:rsidR="0079616D">
        <w:rPr>
          <w:lang w:val="en-GB"/>
        </w:rPr>
        <w:t>The slot where the UE shall transmit on PUSCH is given by following formula:</w:t>
      </w:r>
    </w:p>
    <w:p w:rsidR="0079616D" w:rsidRPr="00C73C63" w:rsidRDefault="00BD6644" w:rsidP="00C608A0">
      <w:pPr>
        <w:rPr>
          <w:rFonts w:eastAsiaTheme="minorEastAsia"/>
          <w:lang w:val="en-GB"/>
        </w:rPr>
      </w:pPr>
      <m:oMathPara>
        <m:oMath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n</m:t>
              </m:r>
              <m:f>
                <m:f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PUSCH</m:t>
                          </m:r>
                        </m:sub>
                      </m:sSub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PDCCH</m:t>
                          </m:r>
                        </m:sub>
                      </m:sSub>
                    </m:sup>
                  </m:sSup>
                </m:den>
              </m:f>
            </m:e>
          </m:d>
          <m:r>
            <w:rPr>
              <w:rFonts w:ascii="Cambria Math" w:eastAsiaTheme="minorEastAsia" w:hAnsi="Cambria Math"/>
              <w:lang w:val="en-GB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GB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lang w:val="en-GB"/>
                </w:rPr>
                <m:t>2</m:t>
              </m:r>
            </m:sub>
          </m:sSub>
        </m:oMath>
      </m:oMathPara>
    </w:p>
    <w:p w:rsidR="00C73C63" w:rsidRDefault="00C73C63" w:rsidP="00C608A0">
      <w:pPr>
        <w:rPr>
          <w:lang w:val="en-GB"/>
        </w:rPr>
      </w:pPr>
    </w:p>
    <w:p w:rsidR="00C73C63" w:rsidRDefault="009D0C68" w:rsidP="00C608A0">
      <w:pPr>
        <w:rPr>
          <w:lang w:val="en-GB"/>
        </w:rPr>
      </w:pPr>
      <w:proofErr w:type="gramStart"/>
      <w:r>
        <w:rPr>
          <w:lang w:val="en-GB"/>
        </w:rPr>
        <w:t>w</w:t>
      </w:r>
      <w:r w:rsidR="00C73C63">
        <w:rPr>
          <w:lang w:val="en-GB"/>
        </w:rPr>
        <w:t>here</w:t>
      </w:r>
      <w:proofErr w:type="gramEnd"/>
      <w:r w:rsidR="00C73C63">
        <w:rPr>
          <w:lang w:val="en-GB"/>
        </w:rPr>
        <w:t xml:space="preserve"> n is the slot with the scheduling DCI</w:t>
      </w:r>
      <w:r>
        <w:rPr>
          <w:lang w:val="en-GB"/>
        </w:rPr>
        <w:t>.</w:t>
      </w:r>
    </w:p>
    <w:p w:rsidR="00C73C63" w:rsidRDefault="00C73C63" w:rsidP="0066766B">
      <w:pPr>
        <w:jc w:val="both"/>
        <w:rPr>
          <w:rFonts w:eastAsiaTheme="minorEastAsia"/>
          <w:lang w:val="en-GB"/>
        </w:rPr>
      </w:pPr>
      <w:r>
        <w:rPr>
          <w:lang w:val="en-GB"/>
        </w:rPr>
        <w:t xml:space="preserve">The value of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lang w:val="en-GB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2</m:t>
            </m:r>
          </m:sub>
        </m:sSub>
      </m:oMath>
      <w:r w:rsidR="0061463B">
        <w:rPr>
          <w:rFonts w:eastAsiaTheme="minorEastAsia"/>
          <w:lang w:val="en-GB"/>
        </w:rPr>
        <w:t xml:space="preserve"> is either defined by</w:t>
      </w:r>
      <w:r>
        <w:rPr>
          <w:rFonts w:eastAsiaTheme="minorEastAsia"/>
          <w:lang w:val="en-GB"/>
        </w:rPr>
        <w:t xml:space="preserve"> the </w:t>
      </w:r>
      <w:proofErr w:type="spellStart"/>
      <w:r>
        <w:rPr>
          <w:rFonts w:eastAsiaTheme="minorEastAsia"/>
          <w:lang w:val="en-GB"/>
        </w:rPr>
        <w:t>TimeDomainAllocationList</w:t>
      </w:r>
      <w:proofErr w:type="spellEnd"/>
      <w:r w:rsidR="0061463B">
        <w:rPr>
          <w:rFonts w:eastAsiaTheme="minorEastAsia"/>
          <w:lang w:val="en-GB"/>
        </w:rPr>
        <w:t xml:space="preserve"> parameter</w:t>
      </w:r>
      <w:r>
        <w:rPr>
          <w:rFonts w:eastAsiaTheme="minorEastAsia"/>
          <w:lang w:val="en-GB"/>
        </w:rPr>
        <w:t xml:space="preserve"> provided in </w:t>
      </w:r>
      <w:proofErr w:type="spellStart"/>
      <w:r>
        <w:rPr>
          <w:rFonts w:eastAsiaTheme="minorEastAsia"/>
          <w:lang w:val="en-GB"/>
        </w:rPr>
        <w:t>pusch-ConfigCommon</w:t>
      </w:r>
      <w:proofErr w:type="spellEnd"/>
      <w:r w:rsidR="0061463B">
        <w:rPr>
          <w:rFonts w:eastAsiaTheme="minorEastAsia"/>
          <w:lang w:val="en-GB"/>
        </w:rPr>
        <w:t xml:space="preserve"> with maximum value </w:t>
      </w:r>
      <m:oMath>
        <m:r>
          <w:rPr>
            <w:rFonts w:ascii="Cambria Math" w:eastAsiaTheme="minorEastAsia" w:hAnsi="Cambria Math"/>
            <w:lang w:val="en-GB"/>
          </w:rPr>
          <m:t>32</m:t>
        </m:r>
      </m:oMath>
      <w:r w:rsidR="0061463B">
        <w:rPr>
          <w:rFonts w:eastAsiaTheme="minorEastAsia"/>
          <w:lang w:val="en-GB"/>
        </w:rPr>
        <w:t xml:space="preserve"> or defined by a default allocation table with maximum value j+3 with j depending on numerology as follows:</w:t>
      </w:r>
    </w:p>
    <w:p w:rsidR="0061463B" w:rsidRDefault="0061463B" w:rsidP="00C608A0">
      <w:pPr>
        <w:rPr>
          <w:rFonts w:eastAsiaTheme="minorEastAsia"/>
          <w:lang w:val="en-GB"/>
        </w:rPr>
      </w:pPr>
    </w:p>
    <w:tbl>
      <w:tblPr>
        <w:tblStyle w:val="Tramemoyenne1-Accent1"/>
        <w:tblW w:w="0" w:type="auto"/>
        <w:tblInd w:w="3227" w:type="dxa"/>
        <w:tblLook w:val="04A0" w:firstRow="1" w:lastRow="0" w:firstColumn="1" w:lastColumn="0" w:noHBand="0" w:noVBand="1"/>
      </w:tblPr>
      <w:tblGrid>
        <w:gridCol w:w="1379"/>
        <w:gridCol w:w="747"/>
      </w:tblGrid>
      <w:tr w:rsidR="0061463B" w:rsidTr="006146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dxa"/>
          </w:tcPr>
          <w:p w:rsidR="0061463B" w:rsidRDefault="00BD6644" w:rsidP="0061463B">
            <w:pPr>
              <w:jc w:val="center"/>
              <w:rPr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PUSCH</m:t>
                    </m:r>
                  </m:sub>
                </m:sSub>
              </m:oMath>
            </m:oMathPara>
          </w:p>
        </w:tc>
        <w:tc>
          <w:tcPr>
            <w:tcW w:w="747" w:type="dxa"/>
          </w:tcPr>
          <w:p w:rsidR="0061463B" w:rsidRDefault="0061463B" w:rsidP="0061463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j</w:t>
            </w:r>
          </w:p>
        </w:tc>
      </w:tr>
      <w:tr w:rsidR="0061463B" w:rsidTr="006146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dxa"/>
          </w:tcPr>
          <w:p w:rsidR="0061463B" w:rsidRDefault="0061463B" w:rsidP="00614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747" w:type="dxa"/>
          </w:tcPr>
          <w:p w:rsidR="0061463B" w:rsidRDefault="0061463B" w:rsidP="006146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61463B" w:rsidTr="006146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dxa"/>
          </w:tcPr>
          <w:p w:rsidR="0061463B" w:rsidRDefault="0061463B" w:rsidP="00614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47" w:type="dxa"/>
          </w:tcPr>
          <w:p w:rsidR="0061463B" w:rsidRDefault="0061463B" w:rsidP="006146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61463B" w:rsidTr="006146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dxa"/>
          </w:tcPr>
          <w:p w:rsidR="0061463B" w:rsidRDefault="0061463B" w:rsidP="00614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47" w:type="dxa"/>
          </w:tcPr>
          <w:p w:rsidR="0061463B" w:rsidRDefault="0061463B" w:rsidP="006146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61463B" w:rsidTr="0061463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dxa"/>
          </w:tcPr>
          <w:p w:rsidR="0061463B" w:rsidRDefault="0061463B" w:rsidP="0061463B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47" w:type="dxa"/>
          </w:tcPr>
          <w:p w:rsidR="0061463B" w:rsidRDefault="0061463B" w:rsidP="0061463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</w:tr>
    </w:tbl>
    <w:p w:rsidR="0061463B" w:rsidRDefault="0061463B" w:rsidP="00C608A0">
      <w:pPr>
        <w:rPr>
          <w:lang w:val="en-GB"/>
        </w:rPr>
      </w:pPr>
    </w:p>
    <w:p w:rsidR="0061463B" w:rsidRPr="00C608A0" w:rsidRDefault="0061463B" w:rsidP="00C608A0">
      <w:pPr>
        <w:rPr>
          <w:lang w:val="en-GB"/>
        </w:rPr>
      </w:pPr>
      <w:r>
        <w:rPr>
          <w:lang w:val="en-GB"/>
        </w:rPr>
        <w:t>In both cases, the maximum uplink scheduling corresponds</w:t>
      </w:r>
      <w:r w:rsidR="00CE7D88">
        <w:rPr>
          <w:lang w:val="en-GB"/>
        </w:rPr>
        <w:t xml:space="preserve"> to a shorter time than </w:t>
      </w:r>
      <w:r>
        <w:rPr>
          <w:lang w:val="en-GB"/>
        </w:rPr>
        <w:t>propagation delays</w:t>
      </w:r>
      <w:r w:rsidR="00CE7D88">
        <w:rPr>
          <w:lang w:val="en-GB"/>
        </w:rPr>
        <w:t xml:space="preserve"> in NTN</w:t>
      </w:r>
      <w:r>
        <w:rPr>
          <w:lang w:val="en-GB"/>
        </w:rPr>
        <w:t>.</w:t>
      </w:r>
    </w:p>
    <w:p w:rsidR="0021284E" w:rsidRPr="00BE12F9" w:rsidRDefault="0021284E" w:rsidP="0021284E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iCs/>
          <w:sz w:val="36"/>
          <w:lang w:val="en-US" w:eastAsia="ja-JP"/>
        </w:rPr>
      </w:pPr>
      <w:r>
        <w:rPr>
          <w:rFonts w:ascii="Arial" w:eastAsia="MS Mincho" w:hAnsi="Arial" w:cs="Arial"/>
          <w:b w:val="0"/>
          <w:sz w:val="36"/>
          <w:lang w:val="en-US" w:eastAsia="ja-JP"/>
        </w:rPr>
        <w:t>Timing alignment and scheduling in 5G NR</w:t>
      </w:r>
    </w:p>
    <w:p w:rsidR="0066766B" w:rsidRDefault="00E13A6E" w:rsidP="00D67DC4">
      <w:pPr>
        <w:pStyle w:val="Titre2"/>
        <w:jc w:val="both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</w:pP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Timing alignment and scheduling mechanisms could be applied for NTN by extending the maximum TA and uplink scheduling commands. This approach is suboptimal, as the TA and </w:t>
      </w:r>
      <w:r w:rsidR="00C472BB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DCI 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will always</w:t>
      </w:r>
      <w:r w:rsidR="00C472BB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incorporate a minimum delay corresponding to the shortest distance between the earth and the satellite.</w:t>
      </w:r>
      <w:r w:rsidR="00D67DC4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There is however no need to transmit this constant delay to the UE, as it is known by the </w:t>
      </w:r>
      <w:proofErr w:type="spellStart"/>
      <w:r w:rsidR="00D67DC4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gNB</w:t>
      </w:r>
      <w:proofErr w:type="spellEnd"/>
      <w:r w:rsidR="006D0060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as illustrated in the next sections for the TDD and FDD cases.</w:t>
      </w:r>
    </w:p>
    <w:p w:rsidR="00DF131D" w:rsidRDefault="00DF131D" w:rsidP="0066766B">
      <w:pPr>
        <w:rPr>
          <w:lang w:val="en-GB"/>
        </w:rPr>
      </w:pPr>
    </w:p>
    <w:p w:rsidR="0066766B" w:rsidRPr="0066766B" w:rsidRDefault="0066766B" w:rsidP="0066766B">
      <w:pPr>
        <w:jc w:val="both"/>
        <w:rPr>
          <w:lang w:val="en-GB"/>
        </w:rPr>
      </w:pPr>
      <w:r>
        <w:rPr>
          <w:lang w:val="en-GB"/>
        </w:rPr>
        <w:t xml:space="preserve">For the sake of clarity, these mechanisms are shown considering one UE </w:t>
      </w:r>
      <w:r w:rsidR="00DF131D">
        <w:rPr>
          <w:lang w:val="en-GB"/>
        </w:rPr>
        <w:t>at the closest edge of the beam</w:t>
      </w:r>
      <w:r w:rsidR="00DF131D">
        <w:rPr>
          <w:rStyle w:val="Appelnotedebasdep"/>
          <w:lang w:val="en-GB"/>
        </w:rPr>
        <w:footnoteReference w:id="1"/>
      </w:r>
      <w:r>
        <w:rPr>
          <w:lang w:val="en-GB"/>
        </w:rPr>
        <w:t xml:space="preserve"> (UE</w:t>
      </w:r>
      <w:r w:rsidRPr="0066766B">
        <w:rPr>
          <w:vertAlign w:val="subscript"/>
          <w:lang w:val="en-GB"/>
        </w:rPr>
        <w:t>1</w:t>
      </w:r>
      <w:r>
        <w:rPr>
          <w:lang w:val="en-GB"/>
        </w:rPr>
        <w:t>) with propagation distance d1</w:t>
      </w:r>
      <w:r w:rsidR="00FA39FB">
        <w:rPr>
          <w:lang w:val="en-GB"/>
        </w:rPr>
        <w:t>/c</w:t>
      </w:r>
      <w:r w:rsidR="00DA5D8A">
        <w:rPr>
          <w:lang w:val="en-GB"/>
        </w:rPr>
        <w:t xml:space="preserve"> corresponding to the common propagation delay (CD)</w:t>
      </w:r>
      <w:r>
        <w:rPr>
          <w:lang w:val="en-GB"/>
        </w:rPr>
        <w:t xml:space="preserve"> and one UE</w:t>
      </w:r>
      <w:r w:rsidR="0028786B">
        <w:rPr>
          <w:lang w:val="en-GB"/>
        </w:rPr>
        <w:t xml:space="preserve"> (UE</w:t>
      </w:r>
      <w:r w:rsidR="0028786B">
        <w:rPr>
          <w:vertAlign w:val="subscript"/>
          <w:lang w:val="en-GB"/>
        </w:rPr>
        <w:t>2</w:t>
      </w:r>
      <w:r w:rsidR="0028786B">
        <w:rPr>
          <w:lang w:val="en-GB"/>
        </w:rPr>
        <w:t xml:space="preserve">) at the </w:t>
      </w:r>
      <w:r w:rsidR="00DF131D">
        <w:rPr>
          <w:lang w:val="en-GB"/>
        </w:rPr>
        <w:t>far</w:t>
      </w:r>
      <w:r w:rsidR="00973EEF">
        <w:rPr>
          <w:lang w:val="en-GB"/>
        </w:rPr>
        <w:t>th</w:t>
      </w:r>
      <w:r w:rsidR="00DF131D">
        <w:rPr>
          <w:lang w:val="en-GB"/>
        </w:rPr>
        <w:t xml:space="preserve">est beam </w:t>
      </w:r>
      <w:r w:rsidR="0028786B">
        <w:rPr>
          <w:lang w:val="en-GB"/>
        </w:rPr>
        <w:t xml:space="preserve">edge with </w:t>
      </w:r>
      <w:r>
        <w:rPr>
          <w:lang w:val="en-GB"/>
        </w:rPr>
        <w:t>propagation distance d1+d2</w:t>
      </w:r>
      <w:r w:rsidR="0028786B">
        <w:rPr>
          <w:lang w:val="en-GB"/>
        </w:rPr>
        <w:t>, d2</w:t>
      </w:r>
      <w:r w:rsidR="00FA39FB">
        <w:rPr>
          <w:lang w:val="en-GB"/>
        </w:rPr>
        <w:t>/c</w:t>
      </w:r>
      <w:r w:rsidR="0028786B">
        <w:rPr>
          <w:lang w:val="en-GB"/>
        </w:rPr>
        <w:t xml:space="preserve"> being therefore the maximum differential delay (MDD)</w:t>
      </w:r>
      <w:r>
        <w:rPr>
          <w:lang w:val="en-GB"/>
        </w:rPr>
        <w:t>.</w:t>
      </w:r>
    </w:p>
    <w:p w:rsidR="00C472BB" w:rsidRDefault="00F33897" w:rsidP="0066766B">
      <w:pPr>
        <w:pStyle w:val="Titre2"/>
        <w:jc w:val="center"/>
      </w:pPr>
      <w:r>
        <w:object w:dxaOrig="7084" w:dyaOrig="6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75pt;height:237.05pt" o:ole="">
            <v:imagedata r:id="rId9" o:title=""/>
          </v:shape>
          <o:OLEObject Type="Embed" ProgID="Visio.Drawing.11" ShapeID="_x0000_i1025" DrawAspect="Content" ObjectID="_1611755073" r:id="rId10"/>
        </w:object>
      </w:r>
    </w:p>
    <w:p w:rsidR="002D5E10" w:rsidRDefault="002D5E10" w:rsidP="002D5E10"/>
    <w:p w:rsidR="002D5E10" w:rsidRDefault="002D5E10" w:rsidP="002D5E10"/>
    <w:p w:rsidR="002D5E10" w:rsidRPr="002D5E10" w:rsidRDefault="002D5E10" w:rsidP="002D5E10"/>
    <w:p w:rsidR="009E44EA" w:rsidRPr="002D5E10" w:rsidRDefault="00D67DC4" w:rsidP="002D5E10">
      <w:pPr>
        <w:pStyle w:val="Titre2"/>
        <w:numPr>
          <w:ilvl w:val="1"/>
          <w:numId w:val="9"/>
        </w:numPr>
        <w:rPr>
          <w:lang w:val="en-GB"/>
        </w:rPr>
      </w:pPr>
      <w:r w:rsidRPr="002D5E10">
        <w:rPr>
          <w:lang w:val="en-GB"/>
        </w:rPr>
        <w:lastRenderedPageBreak/>
        <w:t>FDD case</w:t>
      </w:r>
    </w:p>
    <w:p w:rsidR="006D0060" w:rsidRDefault="006D0060" w:rsidP="006D0060">
      <w:pPr>
        <w:rPr>
          <w:lang w:val="en-GB"/>
        </w:rPr>
      </w:pPr>
    </w:p>
    <w:p w:rsidR="0066766B" w:rsidRDefault="0066766B" w:rsidP="00E712FB">
      <w:pPr>
        <w:jc w:val="both"/>
        <w:rPr>
          <w:lang w:val="en-GB"/>
        </w:rPr>
      </w:pPr>
      <w:r>
        <w:rPr>
          <w:lang w:val="en-GB"/>
        </w:rPr>
        <w:t xml:space="preserve">In the FDD case, the downlink and uplink frames do not need to be time aligned. </w:t>
      </w:r>
      <w:r w:rsidR="0028786B">
        <w:rPr>
          <w:lang w:val="en-GB"/>
        </w:rPr>
        <w:t>The TA value is equal to 0 for UE</w:t>
      </w:r>
      <w:r w:rsidR="0028786B" w:rsidRPr="0066766B">
        <w:rPr>
          <w:vertAlign w:val="subscript"/>
          <w:lang w:val="en-GB"/>
        </w:rPr>
        <w:t>1</w:t>
      </w:r>
      <w:r w:rsidR="0028786B">
        <w:rPr>
          <w:vertAlign w:val="subscript"/>
          <w:lang w:val="en-GB"/>
        </w:rPr>
        <w:t xml:space="preserve"> </w:t>
      </w:r>
      <w:r w:rsidR="0028786B">
        <w:rPr>
          <w:lang w:val="en-GB"/>
        </w:rPr>
        <w:t>while the TA value for UE</w:t>
      </w:r>
      <w:r w:rsidR="0028786B">
        <w:rPr>
          <w:vertAlign w:val="subscript"/>
          <w:lang w:val="en-GB"/>
        </w:rPr>
        <w:t xml:space="preserve">2 </w:t>
      </w:r>
      <w:r w:rsidR="0028786B">
        <w:rPr>
          <w:lang w:val="en-GB"/>
        </w:rPr>
        <w:t>is equal to 2 times MDD to align the uplink frames from UE</w:t>
      </w:r>
      <w:r w:rsidR="0028786B">
        <w:rPr>
          <w:vertAlign w:val="subscript"/>
          <w:lang w:val="en-GB"/>
        </w:rPr>
        <w:t xml:space="preserve">1 </w:t>
      </w:r>
      <w:r w:rsidR="0028786B">
        <w:rPr>
          <w:lang w:val="en-GB"/>
        </w:rPr>
        <w:t>and UE</w:t>
      </w:r>
      <w:r w:rsidR="0028786B">
        <w:rPr>
          <w:vertAlign w:val="subscript"/>
          <w:lang w:val="en-GB"/>
        </w:rPr>
        <w:t>2</w:t>
      </w:r>
      <w:r w:rsidR="0028786B">
        <w:rPr>
          <w:lang w:val="en-GB"/>
        </w:rPr>
        <w:t>.</w:t>
      </w:r>
    </w:p>
    <w:p w:rsidR="0066766B" w:rsidRDefault="00B06BF9" w:rsidP="006D0060">
      <w:pPr>
        <w:rPr>
          <w:lang w:val="en-GB"/>
        </w:rPr>
      </w:pPr>
      <w:r>
        <w:rPr>
          <w:noProof/>
          <w:lang w:eastAsia="fr-FR"/>
        </w:rPr>
        <w:drawing>
          <wp:inline distT="0" distB="0" distL="0" distR="0" wp14:anchorId="750A7D2B" wp14:editId="2E70E0AB">
            <wp:extent cx="5760720" cy="2514726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14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86B" w:rsidRDefault="0028786B" w:rsidP="0028786B">
      <w:pPr>
        <w:pStyle w:val="Titre2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</w:pPr>
      <w:r w:rsidRPr="0028786B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As 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illustrated below, the scheduling command is only valid in the </w:t>
      </w:r>
      <w:r w:rsidR="00DA5D8A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UE time referential since the uplink frame arrives to the </w:t>
      </w:r>
      <w:proofErr w:type="spellStart"/>
      <w:r w:rsidR="00DA5D8A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gNB</w:t>
      </w:r>
      <w:proofErr w:type="spellEnd"/>
      <w:r w:rsidR="00DA5D8A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with an additional delay corresponding to 2 CD. </w:t>
      </w:r>
    </w:p>
    <w:p w:rsidR="00DA5D8A" w:rsidRDefault="00DA5D8A" w:rsidP="00DA5D8A">
      <w:pPr>
        <w:rPr>
          <w:lang w:val="en-GB"/>
        </w:rPr>
      </w:pPr>
    </w:p>
    <w:p w:rsidR="00DA5D8A" w:rsidRPr="00DA5D8A" w:rsidRDefault="00B06BF9" w:rsidP="00DA5D8A">
      <w:pPr>
        <w:rPr>
          <w:lang w:val="en-GB"/>
        </w:rPr>
      </w:pPr>
      <w:r>
        <w:rPr>
          <w:noProof/>
          <w:lang w:eastAsia="fr-FR"/>
        </w:rPr>
        <w:drawing>
          <wp:inline distT="0" distB="0" distL="0" distR="0" wp14:anchorId="335F1C48" wp14:editId="62CCBF93">
            <wp:extent cx="5760720" cy="2010679"/>
            <wp:effectExtent l="0" t="0" r="0" b="889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10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812" w:rsidRPr="00962812" w:rsidRDefault="0078521E" w:rsidP="00D73DEC">
      <w:pPr>
        <w:pStyle w:val="Titre2"/>
        <w:rPr>
          <w:lang w:val="en-GB"/>
        </w:rPr>
      </w:pP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Proposal </w:t>
      </w:r>
      <w:r w:rsidR="001C2CFB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1: In the FDD case, </w:t>
      </w:r>
      <w:r w:rsid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TA shall</w:t>
      </w:r>
      <w:r w:rsidR="001C2CFB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only</w:t>
      </w:r>
      <w:r w:rsid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compensate for the differential delay</w:t>
      </w:r>
      <w:r w:rsid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. </w:t>
      </w:r>
      <w:r w:rsidR="00962812"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This assumes</w:t>
      </w:r>
      <w:r w:rsidR="00291C61"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</w:t>
      </w:r>
      <w:r w:rsidR="00D73DEC"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the </w:t>
      </w:r>
      <w:proofErr w:type="spellStart"/>
      <w:r w:rsidR="00291C61"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gNB</w:t>
      </w:r>
      <w:proofErr w:type="spellEnd"/>
      <w:r w:rsidR="00291C61"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</w:t>
      </w:r>
      <w:r w:rsidR="00D73DEC"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is able to cope with different time reference for </w:t>
      </w:r>
      <w:r w:rsidR="00781A89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respectively </w:t>
      </w:r>
      <w:r w:rsidR="00D73DEC"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downlink and uplink</w:t>
      </w:r>
      <w:r w:rsidR="00962812">
        <w:rPr>
          <w:lang w:val="en-GB"/>
        </w:rPr>
        <w:t xml:space="preserve"> </w:t>
      </w:r>
    </w:p>
    <w:p w:rsidR="00D825C6" w:rsidRDefault="00D67DC4" w:rsidP="00D825C6">
      <w:pPr>
        <w:pStyle w:val="Titre2"/>
        <w:numPr>
          <w:ilvl w:val="1"/>
          <w:numId w:val="9"/>
        </w:numPr>
        <w:rPr>
          <w:lang w:val="en-GB"/>
        </w:rPr>
      </w:pPr>
      <w:r>
        <w:rPr>
          <w:lang w:val="en-GB"/>
        </w:rPr>
        <w:t>TDD case</w:t>
      </w:r>
    </w:p>
    <w:p w:rsidR="00D825C6" w:rsidRPr="00D825C6" w:rsidRDefault="00D825C6" w:rsidP="00D825C6">
      <w:pPr>
        <w:pStyle w:val="Titre2"/>
        <w:numPr>
          <w:ilvl w:val="2"/>
          <w:numId w:val="9"/>
        </w:numPr>
        <w:rPr>
          <w:lang w:val="en-GB"/>
        </w:rPr>
      </w:pPr>
      <w:r w:rsidRPr="00D825C6">
        <w:rPr>
          <w:lang w:val="en-GB"/>
        </w:rPr>
        <w:t>GEO</w:t>
      </w:r>
      <w:r w:rsidR="00D73DEC">
        <w:rPr>
          <w:lang w:val="en-GB"/>
        </w:rPr>
        <w:t xml:space="preserve"> satellite</w:t>
      </w:r>
      <w:r w:rsidR="009F678C">
        <w:rPr>
          <w:lang w:val="en-GB"/>
        </w:rPr>
        <w:t xml:space="preserve"> or LEO constellation with moving beams</w:t>
      </w:r>
      <w:r w:rsidR="00AB52DB">
        <w:rPr>
          <w:lang w:val="en-GB"/>
        </w:rPr>
        <w:t xml:space="preserve"> on earth</w:t>
      </w:r>
    </w:p>
    <w:p w:rsidR="00285E7E" w:rsidRDefault="00285E7E" w:rsidP="00067CD0">
      <w:pPr>
        <w:jc w:val="both"/>
        <w:rPr>
          <w:lang w:val="en-GB"/>
        </w:rPr>
      </w:pPr>
      <w:r>
        <w:rPr>
          <w:lang w:val="en-GB"/>
        </w:rPr>
        <w:t>For the TDD case, we</w:t>
      </w:r>
      <w:r w:rsidR="0078521E">
        <w:rPr>
          <w:lang w:val="en-GB"/>
        </w:rPr>
        <w:t xml:space="preserve"> assume a regular DL/UL pattern, typically with the length of a slot. </w:t>
      </w:r>
      <w:r w:rsidR="003C67AB">
        <w:rPr>
          <w:lang w:val="en-GB"/>
        </w:rPr>
        <w:t>The “S” period</w:t>
      </w:r>
      <w:r w:rsidR="00067CD0">
        <w:rPr>
          <w:lang w:val="en-GB"/>
        </w:rPr>
        <w:t xml:space="preserve"> is a guard period, typically a </w:t>
      </w:r>
      <w:bookmarkStart w:id="13" w:name="_GoBack"/>
      <w:r w:rsidR="00067CD0">
        <w:rPr>
          <w:lang w:val="en-GB"/>
        </w:rPr>
        <w:t>few</w:t>
      </w:r>
      <w:r w:rsidR="003C67AB">
        <w:rPr>
          <w:lang w:val="en-GB"/>
        </w:rPr>
        <w:t xml:space="preserve"> </w:t>
      </w:r>
      <w:bookmarkEnd w:id="13"/>
      <w:proofErr w:type="gramStart"/>
      <w:r w:rsidR="003C67AB">
        <w:rPr>
          <w:lang w:val="en-GB"/>
        </w:rPr>
        <w:t>number</w:t>
      </w:r>
      <w:proofErr w:type="gramEnd"/>
      <w:r w:rsidR="003C67AB">
        <w:rPr>
          <w:lang w:val="en-GB"/>
        </w:rPr>
        <w:t xml:space="preserve"> of symbols that are not allocated either to the DL or the UL between a DL to UL transition. </w:t>
      </w:r>
      <w:r w:rsidR="00AD04F5">
        <w:rPr>
          <w:lang w:val="en-GB"/>
        </w:rPr>
        <w:t>I</w:t>
      </w:r>
      <w:r w:rsidR="005A7B4E">
        <w:rPr>
          <w:lang w:val="en-GB"/>
        </w:rPr>
        <w:t>f one makes the assumption that UEs cannot demodulate a DL symbol while transmitting in UL, t</w:t>
      </w:r>
      <w:r w:rsidR="003C67AB">
        <w:rPr>
          <w:lang w:val="en-GB"/>
        </w:rPr>
        <w:t xml:space="preserve">his mechanism </w:t>
      </w:r>
      <w:r w:rsidR="005A7B4E">
        <w:rPr>
          <w:lang w:val="en-GB"/>
        </w:rPr>
        <w:t>become</w:t>
      </w:r>
      <w:r w:rsidR="003C67AB">
        <w:rPr>
          <w:lang w:val="en-GB"/>
        </w:rPr>
        <w:t xml:space="preserve"> necessary for UE</w:t>
      </w:r>
      <w:r w:rsidR="005A7B4E">
        <w:rPr>
          <w:lang w:val="en-GB"/>
        </w:rPr>
        <w:t>s</w:t>
      </w:r>
      <w:r w:rsidR="003C67AB">
        <w:rPr>
          <w:lang w:val="en-GB"/>
        </w:rPr>
        <w:t xml:space="preserve"> </w:t>
      </w:r>
      <w:r w:rsidR="005A7B4E">
        <w:rPr>
          <w:lang w:val="en-GB"/>
        </w:rPr>
        <w:t xml:space="preserve">which </w:t>
      </w:r>
      <w:r w:rsidR="003C67AB">
        <w:rPr>
          <w:lang w:val="en-GB"/>
        </w:rPr>
        <w:t>need to apply TA values and are scheduled in the first UL symbols</w:t>
      </w:r>
      <w:r w:rsidR="005A7B4E">
        <w:rPr>
          <w:lang w:val="en-GB"/>
        </w:rPr>
        <w:t xml:space="preserve"> of the pattern.</w:t>
      </w:r>
    </w:p>
    <w:p w:rsidR="00285E7E" w:rsidRPr="00285E7E" w:rsidRDefault="00285E7E" w:rsidP="00285E7E">
      <w:pPr>
        <w:jc w:val="center"/>
        <w:rPr>
          <w:lang w:val="en-GB"/>
        </w:rPr>
      </w:pPr>
      <w:r>
        <w:object w:dxaOrig="2910" w:dyaOrig="1086">
          <v:shape id="_x0000_i1026" type="#_x0000_t75" style="width:111.4pt;height:41.45pt" o:ole="">
            <v:imagedata r:id="rId13" o:title=""/>
          </v:shape>
          <o:OLEObject Type="Embed" ProgID="Visio.Drawing.11" ShapeID="_x0000_i1026" DrawAspect="Content" ObjectID="_1611755074" r:id="rId14"/>
        </w:object>
      </w:r>
    </w:p>
    <w:p w:rsidR="001C2CFB" w:rsidRDefault="00285E7E" w:rsidP="00285E7E">
      <w:pPr>
        <w:jc w:val="both"/>
        <w:rPr>
          <w:lang w:val="en-GB"/>
        </w:rPr>
      </w:pPr>
      <w:r>
        <w:rPr>
          <w:lang w:val="en-GB"/>
        </w:rPr>
        <w:t>For TDD operations,</w:t>
      </w:r>
      <w:r w:rsidR="00965CAE">
        <w:rPr>
          <w:lang w:val="en-GB"/>
        </w:rPr>
        <w:t xml:space="preserve"> </w:t>
      </w:r>
      <w:r w:rsidR="001C2CFB">
        <w:rPr>
          <w:lang w:val="en-GB"/>
        </w:rPr>
        <w:t>setting the TA of UE</w:t>
      </w:r>
      <w:r w:rsidR="001C2CFB" w:rsidRPr="0066766B">
        <w:rPr>
          <w:vertAlign w:val="subscript"/>
          <w:lang w:val="en-GB"/>
        </w:rPr>
        <w:t>1</w:t>
      </w:r>
      <w:r w:rsidR="001C2CFB">
        <w:rPr>
          <w:vertAlign w:val="subscript"/>
          <w:lang w:val="en-GB"/>
        </w:rPr>
        <w:t xml:space="preserve"> </w:t>
      </w:r>
      <w:r w:rsidR="001C2CFB">
        <w:rPr>
          <w:lang w:val="en-GB"/>
        </w:rPr>
        <w:t xml:space="preserve">to zero </w:t>
      </w:r>
      <w:r w:rsidR="00F36477">
        <w:rPr>
          <w:lang w:val="en-GB"/>
        </w:rPr>
        <w:t xml:space="preserve">may </w:t>
      </w:r>
      <w:r w:rsidR="001C2CFB">
        <w:rPr>
          <w:lang w:val="en-GB"/>
        </w:rPr>
        <w:t>le</w:t>
      </w:r>
      <w:r w:rsidR="00F36477">
        <w:rPr>
          <w:lang w:val="en-GB"/>
        </w:rPr>
        <w:t>ad</w:t>
      </w:r>
      <w:r w:rsidR="001C2CFB">
        <w:rPr>
          <w:lang w:val="en-GB"/>
        </w:rPr>
        <w:t xml:space="preserve"> to an uplink/downlink</w:t>
      </w:r>
      <w:r w:rsidR="00F36477">
        <w:rPr>
          <w:lang w:val="en-GB"/>
        </w:rPr>
        <w:t xml:space="preserve"> synchronization issue as </w:t>
      </w:r>
      <w:r w:rsidR="00AD04F5">
        <w:rPr>
          <w:lang w:val="en-GB"/>
        </w:rPr>
        <w:t xml:space="preserve">two times the </w:t>
      </w:r>
      <w:r w:rsidR="00F36477">
        <w:rPr>
          <w:lang w:val="en-GB"/>
        </w:rPr>
        <w:t>propagation delay is generally not a multiple of the TDD pattern.</w:t>
      </w:r>
    </w:p>
    <w:p w:rsidR="00957113" w:rsidRPr="002D5E10" w:rsidRDefault="00B06BF9" w:rsidP="0066216A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60548029" wp14:editId="24C594EA">
            <wp:extent cx="5760720" cy="2092135"/>
            <wp:effectExtent l="0" t="0" r="0" b="381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9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481" w:rsidRDefault="00093481" w:rsidP="00D825C6">
      <w:pPr>
        <w:jc w:val="both"/>
        <w:rPr>
          <w:lang w:val="en-GB"/>
        </w:rPr>
      </w:pPr>
      <w:r>
        <w:rPr>
          <w:lang w:val="en-GB"/>
        </w:rPr>
        <w:t>Two options are possible:</w:t>
      </w:r>
    </w:p>
    <w:p w:rsidR="00093481" w:rsidRDefault="00093481" w:rsidP="00E712FB">
      <w:pPr>
        <w:pStyle w:val="Paragraphedeliste"/>
        <w:numPr>
          <w:ilvl w:val="0"/>
          <w:numId w:val="14"/>
        </w:numPr>
        <w:jc w:val="both"/>
        <w:rPr>
          <w:lang w:val="en-GB"/>
        </w:rPr>
      </w:pPr>
      <w:r>
        <w:rPr>
          <w:lang w:val="en-GB"/>
        </w:rPr>
        <w:t>The TA advance compensates for the entire propagation delay, similarly to terrestrial networks. This approach seems only viable for LEO constellations</w:t>
      </w:r>
    </w:p>
    <w:p w:rsidR="00D825C6" w:rsidRPr="00093481" w:rsidRDefault="00C87BB6" w:rsidP="00E712FB">
      <w:pPr>
        <w:pStyle w:val="Paragraphedeliste"/>
        <w:numPr>
          <w:ilvl w:val="0"/>
          <w:numId w:val="14"/>
        </w:numPr>
        <w:jc w:val="both"/>
        <w:rPr>
          <w:lang w:val="en-GB"/>
        </w:rPr>
      </w:pPr>
      <w:r w:rsidRPr="00093481">
        <w:rPr>
          <w:lang w:val="en-GB"/>
        </w:rPr>
        <w:t>The TA advance compensate</w:t>
      </w:r>
      <w:r w:rsidR="00093481">
        <w:rPr>
          <w:lang w:val="en-GB"/>
        </w:rPr>
        <w:t>s</w:t>
      </w:r>
      <w:r w:rsidRPr="00093481">
        <w:rPr>
          <w:lang w:val="en-GB"/>
        </w:rPr>
        <w:t xml:space="preserve"> for</w:t>
      </w:r>
      <w:r w:rsidR="00F36477" w:rsidRPr="00093481">
        <w:rPr>
          <w:lang w:val="en-GB"/>
        </w:rPr>
        <w:t xml:space="preserve"> differential delay and the remainder of the division of </w:t>
      </w:r>
      <w:r w:rsidR="003C67AB" w:rsidRPr="00093481">
        <w:rPr>
          <w:lang w:val="en-GB"/>
        </w:rPr>
        <w:t xml:space="preserve">two times the </w:t>
      </w:r>
      <w:r w:rsidR="00F36477" w:rsidRPr="00093481">
        <w:rPr>
          <w:lang w:val="en-GB"/>
        </w:rPr>
        <w:t xml:space="preserve">propagation delay by the TDD pattern </w:t>
      </w:r>
      <w:r w:rsidR="0078521E" w:rsidRPr="00093481">
        <w:rPr>
          <w:lang w:val="en-GB"/>
        </w:rPr>
        <w:t>length</w:t>
      </w:r>
      <w:r w:rsidR="00957113" w:rsidRPr="00093481">
        <w:rPr>
          <w:lang w:val="en-GB"/>
        </w:rPr>
        <w:t xml:space="preserve"> as illustrated in the following figure</w:t>
      </w:r>
      <w:r w:rsidR="00093481">
        <w:rPr>
          <w:lang w:val="en-GB"/>
        </w:rPr>
        <w:t xml:space="preserve"> This approach can be considered for both LEO with moving beams</w:t>
      </w:r>
      <w:r w:rsidR="005540F1">
        <w:rPr>
          <w:rStyle w:val="Appelnotedebasdep"/>
          <w:lang w:val="en-GB"/>
        </w:rPr>
        <w:footnoteReference w:id="2"/>
      </w:r>
      <w:r w:rsidR="00093481">
        <w:rPr>
          <w:lang w:val="en-GB"/>
        </w:rPr>
        <w:t xml:space="preserve"> on earth and GEO</w:t>
      </w:r>
    </w:p>
    <w:p w:rsidR="00957113" w:rsidRDefault="00B06BF9" w:rsidP="002D5E10">
      <w:pPr>
        <w:jc w:val="center"/>
        <w:rPr>
          <w:lang w:val="en-GB"/>
        </w:rPr>
      </w:pPr>
      <w:r>
        <w:rPr>
          <w:noProof/>
          <w:lang w:eastAsia="fr-FR"/>
        </w:rPr>
        <w:drawing>
          <wp:inline distT="0" distB="0" distL="0" distR="0" wp14:anchorId="341B48F0" wp14:editId="15C9F043">
            <wp:extent cx="5760720" cy="3139427"/>
            <wp:effectExtent l="0" t="0" r="0" b="444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39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5E10" w:rsidRDefault="002D5E10" w:rsidP="00D825C6">
      <w:pPr>
        <w:jc w:val="both"/>
        <w:rPr>
          <w:lang w:val="en-GB"/>
        </w:rPr>
      </w:pPr>
    </w:p>
    <w:p w:rsidR="002D5E10" w:rsidRDefault="002D5E10" w:rsidP="00D825C6">
      <w:pPr>
        <w:jc w:val="both"/>
        <w:rPr>
          <w:lang w:val="en-GB"/>
        </w:rPr>
      </w:pPr>
    </w:p>
    <w:p w:rsidR="002F0EB6" w:rsidRDefault="009F678C" w:rsidP="00D825C6">
      <w:pPr>
        <w:jc w:val="both"/>
        <w:rPr>
          <w:lang w:val="en-GB"/>
        </w:rPr>
      </w:pPr>
      <w:r>
        <w:rPr>
          <w:lang w:val="en-GB"/>
        </w:rPr>
        <w:lastRenderedPageBreak/>
        <w:t xml:space="preserve"> The length of the TDD regular pattern shall be carefully chosen</w:t>
      </w:r>
      <w:r w:rsidR="002F0EB6">
        <w:rPr>
          <w:lang w:val="en-GB"/>
        </w:rPr>
        <w:t>:</w:t>
      </w:r>
    </w:p>
    <w:p w:rsidR="002F0EB6" w:rsidRDefault="002F0EB6" w:rsidP="002F0EB6">
      <w:pPr>
        <w:pStyle w:val="Paragraphedeliste"/>
        <w:numPr>
          <w:ilvl w:val="0"/>
          <w:numId w:val="12"/>
        </w:numPr>
        <w:jc w:val="both"/>
        <w:rPr>
          <w:lang w:val="en-GB"/>
        </w:rPr>
      </w:pPr>
      <w:r>
        <w:rPr>
          <w:lang w:val="en-GB"/>
        </w:rPr>
        <w:t xml:space="preserve">The remainder of the division of two times the propagation delay by the TDD pattern </w:t>
      </w:r>
      <w:r w:rsidR="00B06BF9">
        <w:rPr>
          <w:lang w:val="en-GB"/>
        </w:rPr>
        <w:t>duration</w:t>
      </w:r>
      <w:r>
        <w:rPr>
          <w:lang w:val="en-GB"/>
        </w:rPr>
        <w:t xml:space="preserve"> shall be minimized</w:t>
      </w:r>
    </w:p>
    <w:p w:rsidR="00F33897" w:rsidRDefault="002F0EB6" w:rsidP="002D5E10">
      <w:pPr>
        <w:rPr>
          <w:lang w:val="en-GB"/>
        </w:rPr>
      </w:pPr>
      <w:r>
        <w:rPr>
          <w:lang w:val="en-GB"/>
        </w:rPr>
        <w:t xml:space="preserve">The </w:t>
      </w:r>
      <w:r w:rsidR="00B06BF9">
        <w:rPr>
          <w:lang w:val="en-GB"/>
        </w:rPr>
        <w:t>duration</w:t>
      </w:r>
      <w:r>
        <w:rPr>
          <w:lang w:val="en-GB"/>
        </w:rPr>
        <w:t xml:space="preserve"> of the “</w:t>
      </w:r>
      <w:proofErr w:type="spellStart"/>
      <w:r>
        <w:rPr>
          <w:lang w:val="en-GB"/>
        </w:rPr>
        <w:t>S”period</w:t>
      </w:r>
      <w:proofErr w:type="spellEnd"/>
      <w:r>
        <w:rPr>
          <w:lang w:val="en-GB"/>
        </w:rPr>
        <w:t xml:space="preserve"> shall be small compared to the TDD regular pattern. This means that the TDD regular pattern is </w:t>
      </w:r>
      <w:r w:rsidR="00AB52DB">
        <w:rPr>
          <w:lang w:val="en-GB"/>
        </w:rPr>
        <w:t xml:space="preserve">at least </w:t>
      </w:r>
      <w:r>
        <w:rPr>
          <w:lang w:val="en-GB"/>
        </w:rPr>
        <w:t>larger than the maximum differential delay</w:t>
      </w:r>
      <w:r w:rsidR="0057459D">
        <w:rPr>
          <w:lang w:val="en-GB"/>
        </w:rPr>
        <w:t>.</w:t>
      </w:r>
    </w:p>
    <w:p w:rsidR="002D5E10" w:rsidRPr="00F33897" w:rsidRDefault="002D5E10" w:rsidP="002D5E10">
      <w:pPr>
        <w:rPr>
          <w:lang w:val="en-GB"/>
        </w:rPr>
      </w:pPr>
      <w:r>
        <w:rPr>
          <w:lang w:val="en-GB"/>
        </w:rPr>
        <w:t>Note also that if the TA maximum value is extended, extension of the uplink scheduling command may also be needed to allow enough UE processing time.</w:t>
      </w:r>
    </w:p>
    <w:p w:rsidR="009F678C" w:rsidRDefault="00D825C6" w:rsidP="002D5E10">
      <w:pPr>
        <w:pStyle w:val="Titre2"/>
        <w:jc w:val="both"/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</w:pP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Proposal 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2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: In the 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T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DD case</w:t>
      </w:r>
      <w:r w:rsidR="00E712FB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for GEO or LEO</w:t>
      </w:r>
      <w:r w:rsidR="00AB52DB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with moving beams on earth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, TA shall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</w:t>
      </w:r>
      <w:r w:rsidR="00AB52DB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at least 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c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ompensate for the differential delay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and the remainder of the division of </w:t>
      </w:r>
      <w:r w:rsidR="003C67AB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two times the</w:t>
      </w:r>
      <w:r w:rsidR="003C67AB"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propagation delay by the TDD pattern length</w:t>
      </w:r>
      <w:r w:rsid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. </w:t>
      </w:r>
      <w:r w:rsidR="009F678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Extension of the uplink scheduling command may also be required</w:t>
      </w:r>
      <w:r w:rsidR="002D5E10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to allow enough UE processing time</w:t>
      </w:r>
    </w:p>
    <w:p w:rsidR="002D5E10" w:rsidRPr="002D5E10" w:rsidRDefault="002D5E10" w:rsidP="002D5E10">
      <w:pPr>
        <w:rPr>
          <w:lang w:val="en-GB"/>
        </w:rPr>
      </w:pPr>
    </w:p>
    <w:p w:rsidR="009F678C" w:rsidRPr="002D5E10" w:rsidRDefault="009F678C" w:rsidP="00093481">
      <w:pPr>
        <w:jc w:val="both"/>
        <w:rPr>
          <w:b/>
          <w:lang w:val="en-GB"/>
        </w:rPr>
      </w:pPr>
      <w:r w:rsidRPr="002D5E10">
        <w:rPr>
          <w:b/>
          <w:lang w:val="en-GB"/>
        </w:rPr>
        <w:t xml:space="preserve">Observation 1: The TDD pattern </w:t>
      </w:r>
      <w:r w:rsidR="00B06BF9">
        <w:rPr>
          <w:b/>
          <w:lang w:val="en-GB"/>
        </w:rPr>
        <w:t>duration</w:t>
      </w:r>
      <w:r w:rsidRPr="002D5E10">
        <w:rPr>
          <w:b/>
          <w:lang w:val="en-GB"/>
        </w:rPr>
        <w:t xml:space="preserve"> shall be carefully chosen to reduce the impact of the “S” period</w:t>
      </w:r>
    </w:p>
    <w:p w:rsidR="00067CD0" w:rsidRDefault="00D825C6" w:rsidP="00067CD0">
      <w:pPr>
        <w:pStyle w:val="Titre2"/>
        <w:numPr>
          <w:ilvl w:val="2"/>
          <w:numId w:val="9"/>
        </w:numPr>
        <w:rPr>
          <w:lang w:val="en-GB"/>
        </w:rPr>
      </w:pPr>
      <w:r>
        <w:rPr>
          <w:lang w:val="en-GB"/>
        </w:rPr>
        <w:t>L</w:t>
      </w:r>
      <w:r w:rsidRPr="00D825C6">
        <w:rPr>
          <w:lang w:val="en-GB"/>
        </w:rPr>
        <w:t>EO</w:t>
      </w:r>
      <w:r w:rsidR="00D73DEC">
        <w:rPr>
          <w:lang w:val="en-GB"/>
        </w:rPr>
        <w:t xml:space="preserve"> constellation</w:t>
      </w:r>
      <w:r w:rsidR="009F678C">
        <w:rPr>
          <w:lang w:val="en-GB"/>
        </w:rPr>
        <w:t xml:space="preserve"> with earth-fixed beams</w:t>
      </w:r>
    </w:p>
    <w:p w:rsidR="002D5E10" w:rsidRPr="002D5E10" w:rsidRDefault="002D5E10" w:rsidP="002D5E10">
      <w:pPr>
        <w:rPr>
          <w:lang w:val="en-GB"/>
        </w:rPr>
      </w:pPr>
    </w:p>
    <w:p w:rsidR="00AB52DB" w:rsidRDefault="00067CD0" w:rsidP="00E712FB">
      <w:pPr>
        <w:jc w:val="both"/>
        <w:rPr>
          <w:lang w:val="en-GB"/>
        </w:rPr>
      </w:pPr>
      <w:r>
        <w:rPr>
          <w:lang w:val="en-GB"/>
        </w:rPr>
        <w:t xml:space="preserve">In case of </w:t>
      </w:r>
      <w:r w:rsidR="00093481">
        <w:rPr>
          <w:lang w:val="en-GB"/>
        </w:rPr>
        <w:t xml:space="preserve">a LEO constellation with </w:t>
      </w:r>
      <w:r>
        <w:rPr>
          <w:lang w:val="en-GB"/>
        </w:rPr>
        <w:t xml:space="preserve">earth-fixed beams, </w:t>
      </w:r>
      <w:r w:rsidR="00093481">
        <w:rPr>
          <w:lang w:val="en-GB"/>
        </w:rPr>
        <w:t>two options can also be considered:</w:t>
      </w:r>
    </w:p>
    <w:p w:rsidR="00093481" w:rsidRDefault="00093481" w:rsidP="00E712FB">
      <w:pPr>
        <w:pStyle w:val="Paragraphedeliste"/>
        <w:numPr>
          <w:ilvl w:val="0"/>
          <w:numId w:val="12"/>
        </w:numPr>
        <w:jc w:val="both"/>
        <w:rPr>
          <w:lang w:val="en-GB"/>
        </w:rPr>
      </w:pPr>
      <w:r>
        <w:rPr>
          <w:lang w:val="en-GB"/>
        </w:rPr>
        <w:t>TA compensates for the entire propagation delay</w:t>
      </w:r>
    </w:p>
    <w:p w:rsidR="00093481" w:rsidRDefault="00093481" w:rsidP="00E712FB">
      <w:pPr>
        <w:pStyle w:val="Paragraphedeliste"/>
        <w:numPr>
          <w:ilvl w:val="0"/>
          <w:numId w:val="12"/>
        </w:numPr>
        <w:jc w:val="both"/>
        <w:rPr>
          <w:lang w:val="en-GB"/>
        </w:rPr>
      </w:pPr>
      <w:r>
        <w:rPr>
          <w:lang w:val="en-GB"/>
        </w:rPr>
        <w:t>TA compensates for</w:t>
      </w:r>
      <w:r w:rsidRPr="00093481">
        <w:rPr>
          <w:lang w:val="en-GB"/>
        </w:rPr>
        <w:t xml:space="preserve"> differential delay and the remainder of the division of two times the propagation delay by the TDD pattern </w:t>
      </w:r>
      <w:r w:rsidR="00B06BF9">
        <w:rPr>
          <w:lang w:val="en-GB"/>
        </w:rPr>
        <w:t>duration</w:t>
      </w:r>
    </w:p>
    <w:p w:rsidR="00623DEE" w:rsidRDefault="00093481" w:rsidP="00E712FB">
      <w:pPr>
        <w:jc w:val="both"/>
        <w:rPr>
          <w:lang w:val="en-GB"/>
        </w:rPr>
      </w:pPr>
      <w:r>
        <w:rPr>
          <w:lang w:val="en-GB"/>
        </w:rPr>
        <w:t xml:space="preserve">In the latter case however, as </w:t>
      </w:r>
      <w:r w:rsidR="00067CD0">
        <w:rPr>
          <w:lang w:val="en-GB"/>
        </w:rPr>
        <w:t>the distance between the satellite and t</w:t>
      </w:r>
      <w:r>
        <w:rPr>
          <w:lang w:val="en-GB"/>
        </w:rPr>
        <w:t>he beam centre varies with time,</w:t>
      </w:r>
      <w:r w:rsidR="00067CD0">
        <w:rPr>
          <w:lang w:val="en-GB"/>
        </w:rPr>
        <w:t xml:space="preserve"> </w:t>
      </w:r>
      <w:r>
        <w:rPr>
          <w:lang w:val="en-GB"/>
        </w:rPr>
        <w:t>t</w:t>
      </w:r>
      <w:r w:rsidR="002F0EB6">
        <w:rPr>
          <w:lang w:val="en-GB"/>
        </w:rPr>
        <w:t>he</w:t>
      </w:r>
      <w:r w:rsidR="00067CD0">
        <w:rPr>
          <w:lang w:val="en-GB"/>
        </w:rPr>
        <w:t xml:space="preserve"> TDD pattern </w:t>
      </w:r>
      <w:r w:rsidR="00B06BF9">
        <w:rPr>
          <w:lang w:val="en-GB"/>
        </w:rPr>
        <w:t>duration</w:t>
      </w:r>
      <w:r w:rsidR="00067CD0">
        <w:rPr>
          <w:lang w:val="en-GB"/>
        </w:rPr>
        <w:t xml:space="preserve"> </w:t>
      </w:r>
      <w:r w:rsidR="00E712FB">
        <w:rPr>
          <w:lang w:val="en-GB"/>
        </w:rPr>
        <w:t>shall</w:t>
      </w:r>
      <w:r w:rsidR="00067CD0">
        <w:rPr>
          <w:lang w:val="en-GB"/>
        </w:rPr>
        <w:t xml:space="preserve"> </w:t>
      </w:r>
      <w:r w:rsidR="002F0EB6">
        <w:rPr>
          <w:lang w:val="en-GB"/>
        </w:rPr>
        <w:t xml:space="preserve">also </w:t>
      </w:r>
      <w:r w:rsidR="00E712FB">
        <w:rPr>
          <w:lang w:val="en-GB"/>
        </w:rPr>
        <w:t xml:space="preserve">be </w:t>
      </w:r>
      <w:r w:rsidR="002F0EB6">
        <w:rPr>
          <w:lang w:val="en-GB"/>
        </w:rPr>
        <w:t>time-varying</w:t>
      </w:r>
      <w:r w:rsidR="00067CD0">
        <w:rPr>
          <w:lang w:val="en-GB"/>
        </w:rPr>
        <w:t xml:space="preserve"> to best fit to the current propagation time</w:t>
      </w:r>
      <w:r w:rsidR="002F0EB6">
        <w:rPr>
          <w:lang w:val="en-GB"/>
        </w:rPr>
        <w:t xml:space="preserve">. </w:t>
      </w:r>
      <w:r w:rsidR="00E712FB">
        <w:rPr>
          <w:lang w:val="en-GB"/>
        </w:rPr>
        <w:t xml:space="preserve"> </w:t>
      </w:r>
    </w:p>
    <w:p w:rsidR="00D825C6" w:rsidRPr="00342213" w:rsidRDefault="00E712FB" w:rsidP="007F376F">
      <w:pPr>
        <w:tabs>
          <w:tab w:val="left" w:pos="1800"/>
        </w:tabs>
        <w:spacing w:after="60"/>
        <w:rPr>
          <w:rFonts w:eastAsia="MS Mincho"/>
          <w:b/>
          <w:sz w:val="24"/>
          <w:lang w:val="en-GB"/>
        </w:rPr>
      </w:pPr>
      <w:r w:rsidRPr="00E712FB">
        <w:rPr>
          <w:b/>
          <w:lang w:val="en-GB"/>
        </w:rPr>
        <w:t xml:space="preserve">Observation </w:t>
      </w:r>
      <w:r w:rsidR="00623DEE">
        <w:rPr>
          <w:b/>
          <w:lang w:val="en-GB"/>
        </w:rPr>
        <w:t>2</w:t>
      </w:r>
      <w:r w:rsidRPr="00E712FB">
        <w:rPr>
          <w:b/>
          <w:lang w:val="en-GB"/>
        </w:rPr>
        <w:t xml:space="preserve">: In LEO constellation with earth-fixed beams, a variable TDD pattern </w:t>
      </w:r>
      <w:r w:rsidR="00B06BF9">
        <w:rPr>
          <w:b/>
          <w:lang w:val="en-GB"/>
        </w:rPr>
        <w:t>duration</w:t>
      </w:r>
      <w:r w:rsidRPr="00E712FB">
        <w:rPr>
          <w:b/>
          <w:lang w:val="en-GB"/>
        </w:rPr>
        <w:t xml:space="preserve"> shall be considered if TA does not compensate the entire propagation delay</w:t>
      </w:r>
    </w:p>
    <w:p w:rsidR="007F376F" w:rsidRDefault="007F376F" w:rsidP="007F376F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sz w:val="36"/>
          <w:lang w:val="en-US" w:eastAsia="ja-JP"/>
        </w:rPr>
      </w:pPr>
      <w:r>
        <w:rPr>
          <w:rFonts w:ascii="Arial" w:eastAsia="MS Mincho" w:hAnsi="Arial" w:cs="Arial"/>
          <w:b w:val="0"/>
          <w:sz w:val="36"/>
          <w:lang w:val="en-US" w:eastAsia="ja-JP"/>
        </w:rPr>
        <w:t>Conclusion</w:t>
      </w:r>
    </w:p>
    <w:p w:rsidR="00D73DEC" w:rsidRPr="00962812" w:rsidRDefault="00D73DEC" w:rsidP="00D73DEC">
      <w:pPr>
        <w:pStyle w:val="Titre2"/>
        <w:rPr>
          <w:lang w:val="en-GB"/>
        </w:rPr>
      </w:pP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Proposal 1: In the FDD case, TA shall only compensate for the </w:t>
      </w:r>
      <w:r w:rsidR="005540F1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maximum 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differential delay</w:t>
      </w:r>
      <w:r w:rsidR="005540F1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in a satellite beam providing SSB signalling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. </w:t>
      </w:r>
      <w:r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This assumes the </w:t>
      </w:r>
      <w:proofErr w:type="spellStart"/>
      <w:r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gNB</w:t>
      </w:r>
      <w:proofErr w:type="spellEnd"/>
      <w:r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is able to cope with different time reference for </w:t>
      </w:r>
      <w:r w:rsidR="00781A89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respectively </w:t>
      </w:r>
      <w:r w:rsidRPr="00D73DEC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downlink and uplink</w:t>
      </w:r>
      <w:r>
        <w:rPr>
          <w:lang w:val="en-GB"/>
        </w:rPr>
        <w:t xml:space="preserve"> </w:t>
      </w:r>
    </w:p>
    <w:p w:rsidR="00D73DEC" w:rsidRDefault="00D73DEC" w:rsidP="00D73DEC">
      <w:pPr>
        <w:rPr>
          <w:lang w:val="en-GB" w:eastAsia="ja-JP"/>
        </w:rPr>
      </w:pPr>
    </w:p>
    <w:p w:rsidR="00D73DEC" w:rsidRPr="00D73DEC" w:rsidRDefault="00D73DEC" w:rsidP="00D73DEC">
      <w:pPr>
        <w:pStyle w:val="Titre2"/>
        <w:jc w:val="both"/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</w:pP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Proposal 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2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: In the 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T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DD case, TA shall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c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ompensate for the </w:t>
      </w:r>
      <w:r w:rsidR="005540F1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maximum 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differential delay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and the remainder of the division of the </w:t>
      </w:r>
      <w:r w:rsidR="005540F1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common</w:t>
      </w:r>
      <w:r w:rsidR="005540F1"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delay </w:t>
      </w:r>
      <w:r w:rsidR="005540F1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(min propagation delay in a satellite beam) </w:t>
      </w:r>
      <w:r w:rsidRPr="00D825C6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by the TDD pattern </w:t>
      </w:r>
      <w:r w:rsidR="005540F1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duration</w:t>
      </w:r>
      <w:r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. This may also require to extend the </w:t>
      </w:r>
      <w:r w:rsidR="005540F1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uplink scheduling delay</w:t>
      </w:r>
      <w:r w:rsidR="00B06BF9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 xml:space="preserve"> </w:t>
      </w:r>
      <w:r w:rsidR="002D5E10">
        <w:rPr>
          <w:rFonts w:asciiTheme="minorHAnsi" w:eastAsiaTheme="minorHAnsi" w:hAnsiTheme="minorHAnsi" w:cstheme="minorBidi"/>
          <w:bCs w:val="0"/>
          <w:color w:val="auto"/>
          <w:sz w:val="22"/>
          <w:szCs w:val="22"/>
          <w:lang w:val="en-GB"/>
        </w:rPr>
        <w:t>to allow enough UE processing time</w:t>
      </w:r>
    </w:p>
    <w:p w:rsidR="00E712FB" w:rsidRDefault="00E712FB" w:rsidP="00E712FB">
      <w:pPr>
        <w:jc w:val="both"/>
        <w:rPr>
          <w:b/>
          <w:lang w:val="en-GB"/>
        </w:rPr>
      </w:pPr>
    </w:p>
    <w:p w:rsidR="0039340F" w:rsidRDefault="0039340F" w:rsidP="00E712FB">
      <w:pPr>
        <w:jc w:val="both"/>
        <w:rPr>
          <w:b/>
          <w:lang w:val="en-GB"/>
        </w:rPr>
      </w:pPr>
      <w:r w:rsidRPr="00CE1558">
        <w:rPr>
          <w:b/>
          <w:lang w:val="en-GB"/>
        </w:rPr>
        <w:lastRenderedPageBreak/>
        <w:t xml:space="preserve">Observation 1: The TDD pattern </w:t>
      </w:r>
      <w:r w:rsidR="00B06BF9">
        <w:rPr>
          <w:b/>
          <w:lang w:val="en-GB"/>
        </w:rPr>
        <w:t>duration</w:t>
      </w:r>
      <w:r w:rsidRPr="00CE1558">
        <w:rPr>
          <w:b/>
          <w:lang w:val="en-GB"/>
        </w:rPr>
        <w:t xml:space="preserve"> shall be carefully chosen to reduce the impact of the “S” period</w:t>
      </w:r>
    </w:p>
    <w:p w:rsidR="00E712FB" w:rsidRPr="00807105" w:rsidRDefault="00E712FB" w:rsidP="00E712FB">
      <w:pPr>
        <w:jc w:val="both"/>
        <w:rPr>
          <w:b/>
          <w:lang w:val="en-GB"/>
        </w:rPr>
      </w:pPr>
      <w:r w:rsidRPr="00807105">
        <w:rPr>
          <w:b/>
          <w:lang w:val="en-GB"/>
        </w:rPr>
        <w:t xml:space="preserve">Observation </w:t>
      </w:r>
      <w:r w:rsidR="0039340F">
        <w:rPr>
          <w:b/>
          <w:lang w:val="en-GB"/>
        </w:rPr>
        <w:t>2</w:t>
      </w:r>
      <w:r w:rsidRPr="00807105">
        <w:rPr>
          <w:b/>
          <w:lang w:val="en-GB"/>
        </w:rPr>
        <w:t xml:space="preserve">: In LEO constellation with earth-fixed beams, a variable TDD pattern </w:t>
      </w:r>
      <w:r w:rsidR="00045451">
        <w:rPr>
          <w:b/>
          <w:lang w:val="en-GB"/>
        </w:rPr>
        <w:t>duration</w:t>
      </w:r>
      <w:r w:rsidRPr="00807105">
        <w:rPr>
          <w:b/>
          <w:lang w:val="en-GB"/>
        </w:rPr>
        <w:t xml:space="preserve"> shall be considered if TA does not compensate </w:t>
      </w:r>
      <w:r w:rsidR="00045451">
        <w:rPr>
          <w:b/>
          <w:lang w:val="en-GB"/>
        </w:rPr>
        <w:t xml:space="preserve">for </w:t>
      </w:r>
      <w:r w:rsidRPr="00807105">
        <w:rPr>
          <w:b/>
          <w:lang w:val="en-GB"/>
        </w:rPr>
        <w:t>the entire propagation delay</w:t>
      </w:r>
    </w:p>
    <w:p w:rsidR="00D73DEC" w:rsidRPr="00D73DEC" w:rsidRDefault="00D73DEC" w:rsidP="00D73DEC">
      <w:pPr>
        <w:rPr>
          <w:lang w:val="en-GB" w:eastAsia="ja-JP"/>
        </w:rPr>
      </w:pPr>
    </w:p>
    <w:p w:rsidR="00D73DEC" w:rsidRDefault="00D73DEC" w:rsidP="00D73DEC">
      <w:pPr>
        <w:pStyle w:val="Titre1"/>
        <w:keepLines w:val="0"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360" w:after="180" w:line="240" w:lineRule="auto"/>
        <w:ind w:left="431" w:hanging="431"/>
        <w:rPr>
          <w:rFonts w:ascii="Arial" w:eastAsia="MS Mincho" w:hAnsi="Arial" w:cs="Arial"/>
          <w:b w:val="0"/>
          <w:sz w:val="36"/>
          <w:lang w:val="en-US" w:eastAsia="ja-JP"/>
        </w:rPr>
      </w:pPr>
      <w:r>
        <w:rPr>
          <w:rFonts w:ascii="Arial" w:eastAsia="MS Mincho" w:hAnsi="Arial" w:cs="Arial"/>
          <w:b w:val="0"/>
          <w:sz w:val="36"/>
          <w:lang w:val="en-US" w:eastAsia="ja-JP"/>
        </w:rPr>
        <w:t>References</w:t>
      </w:r>
    </w:p>
    <w:p w:rsidR="000A116D" w:rsidRDefault="00D73DEC" w:rsidP="00D73DEC">
      <w:pPr>
        <w:rPr>
          <w:lang w:val="en-GB"/>
        </w:rPr>
      </w:pPr>
      <w:r>
        <w:rPr>
          <w:lang w:val="en-GB"/>
        </w:rPr>
        <w:t xml:space="preserve"> </w:t>
      </w:r>
      <w:r w:rsidR="000A116D">
        <w:rPr>
          <w:lang w:val="en-GB"/>
        </w:rPr>
        <w:t>[1] TR38.811 “Study on NR to support non-terrestrial networks”</w:t>
      </w:r>
    </w:p>
    <w:p w:rsidR="009831E9" w:rsidRDefault="000A116D" w:rsidP="009831E9">
      <w:pPr>
        <w:rPr>
          <w:lang w:val="en-GB"/>
        </w:rPr>
      </w:pPr>
      <w:r>
        <w:rPr>
          <w:lang w:val="en-GB"/>
        </w:rPr>
        <w:t>[2</w:t>
      </w:r>
      <w:r w:rsidR="009831E9">
        <w:rPr>
          <w:lang w:val="en-GB"/>
        </w:rPr>
        <w:t xml:space="preserve">] </w:t>
      </w:r>
      <w:r w:rsidR="00592DDD">
        <w:rPr>
          <w:lang w:val="en-GB"/>
        </w:rPr>
        <w:t>TS</w:t>
      </w:r>
      <w:r w:rsidR="001D2770">
        <w:rPr>
          <w:lang w:val="en-GB"/>
        </w:rPr>
        <w:t>38.</w:t>
      </w:r>
      <w:r w:rsidR="00534D4B">
        <w:rPr>
          <w:lang w:val="en-GB"/>
        </w:rPr>
        <w:t>213 “Physical layer procedures for control”</w:t>
      </w:r>
    </w:p>
    <w:p w:rsidR="0021284E" w:rsidRDefault="0021284E" w:rsidP="009831E9">
      <w:pPr>
        <w:rPr>
          <w:lang w:val="en-GB"/>
        </w:rPr>
      </w:pPr>
      <w:r>
        <w:rPr>
          <w:lang w:val="en-GB"/>
        </w:rPr>
        <w:t>[3] TS38.300 “NR Overall description”</w:t>
      </w:r>
    </w:p>
    <w:p w:rsidR="00592DDD" w:rsidRPr="00592DDD" w:rsidRDefault="00592DDD" w:rsidP="009831E9">
      <w:pPr>
        <w:rPr>
          <w:lang w:val="en-US"/>
        </w:rPr>
      </w:pPr>
      <w:r>
        <w:rPr>
          <w:lang w:val="en-GB"/>
        </w:rPr>
        <w:t>[</w:t>
      </w:r>
      <w:r w:rsidR="0021284E">
        <w:rPr>
          <w:lang w:val="en-GB"/>
        </w:rPr>
        <w:t>4</w:t>
      </w:r>
      <w:r>
        <w:rPr>
          <w:lang w:val="en-GB"/>
        </w:rPr>
        <w:t>] TS38.214 “</w:t>
      </w:r>
      <w:r w:rsidRPr="00592DDD">
        <w:rPr>
          <w:lang w:val="en-US"/>
        </w:rPr>
        <w:t>Physical layer procedures for data</w:t>
      </w:r>
      <w:r>
        <w:rPr>
          <w:lang w:val="en-US"/>
        </w:rPr>
        <w:t>”</w:t>
      </w:r>
    </w:p>
    <w:p w:rsidR="00024805" w:rsidRPr="00342213" w:rsidRDefault="00024805" w:rsidP="00342213">
      <w:pPr>
        <w:rPr>
          <w:lang w:val="en-GB"/>
        </w:rPr>
      </w:pPr>
      <w:r w:rsidRPr="005B29BB">
        <w:rPr>
          <w:lang w:val="en-GB"/>
        </w:rPr>
        <w:t>[</w:t>
      </w:r>
      <w:r w:rsidR="0021284E">
        <w:rPr>
          <w:lang w:val="en-GB"/>
        </w:rPr>
        <w:t>5</w:t>
      </w:r>
      <w:r w:rsidRPr="005B29BB">
        <w:rPr>
          <w:lang w:val="en-GB"/>
        </w:rPr>
        <w:t>]</w:t>
      </w:r>
      <w:r w:rsidR="002D5E10">
        <w:rPr>
          <w:lang w:val="en-GB"/>
        </w:rPr>
        <w:t xml:space="preserve"> R1-1811328 “</w:t>
      </w:r>
      <w:r w:rsidR="005B29BB" w:rsidRPr="005B29BB">
        <w:rPr>
          <w:lang w:val="en-GB"/>
        </w:rPr>
        <w:t>On UL transmission timing for NTN” (Ericsson)</w:t>
      </w:r>
    </w:p>
    <w:p w:rsidR="00342213" w:rsidRPr="00342213" w:rsidRDefault="00342213" w:rsidP="00024805">
      <w:pPr>
        <w:pStyle w:val="3GPPHeader"/>
        <w:rPr>
          <w:rFonts w:asciiTheme="minorHAnsi" w:hAnsiTheme="minorHAnsi"/>
          <w:b w:val="0"/>
          <w:sz w:val="22"/>
          <w:lang w:val="en-US" w:eastAsia="en-US"/>
        </w:rPr>
      </w:pPr>
    </w:p>
    <w:p w:rsidR="00024805" w:rsidRPr="00024805" w:rsidRDefault="00024805" w:rsidP="009831E9">
      <w:pPr>
        <w:rPr>
          <w:lang w:val="en-US"/>
        </w:rPr>
      </w:pPr>
    </w:p>
    <w:sectPr w:rsidR="00024805" w:rsidRPr="00024805" w:rsidSect="005B29B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644" w:rsidRDefault="00BD6644" w:rsidP="00CB1F7E">
      <w:pPr>
        <w:spacing w:after="0" w:line="240" w:lineRule="auto"/>
      </w:pPr>
      <w:r>
        <w:separator/>
      </w:r>
    </w:p>
  </w:endnote>
  <w:endnote w:type="continuationSeparator" w:id="0">
    <w:p w:rsidR="00BD6644" w:rsidRDefault="00BD6644" w:rsidP="00CB1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7E" w:rsidRDefault="00CB1F7E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7E" w:rsidRDefault="00CB1F7E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7E" w:rsidRDefault="00CB1F7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644" w:rsidRDefault="00BD6644" w:rsidP="00CB1F7E">
      <w:pPr>
        <w:spacing w:after="0" w:line="240" w:lineRule="auto"/>
      </w:pPr>
      <w:r>
        <w:separator/>
      </w:r>
    </w:p>
  </w:footnote>
  <w:footnote w:type="continuationSeparator" w:id="0">
    <w:p w:rsidR="00BD6644" w:rsidRDefault="00BD6644" w:rsidP="00CB1F7E">
      <w:pPr>
        <w:spacing w:after="0" w:line="240" w:lineRule="auto"/>
      </w:pPr>
      <w:r>
        <w:continuationSeparator/>
      </w:r>
    </w:p>
  </w:footnote>
  <w:footnote w:id="1">
    <w:p w:rsidR="00DF131D" w:rsidRPr="002D5E10" w:rsidRDefault="00DF131D">
      <w:pPr>
        <w:pStyle w:val="Notedebasdepage"/>
        <w:rPr>
          <w:lang w:val="en-US"/>
        </w:rPr>
      </w:pPr>
      <w:r>
        <w:rPr>
          <w:rStyle w:val="Appelnotedebasdep"/>
        </w:rPr>
        <w:footnoteRef/>
      </w:r>
      <w:r w:rsidRPr="002D5E10">
        <w:rPr>
          <w:lang w:val="en-US"/>
        </w:rPr>
        <w:t xml:space="preserve"> </w:t>
      </w:r>
      <w:r w:rsidRPr="003A14A9">
        <w:rPr>
          <w:lang w:val="en-GB"/>
        </w:rPr>
        <w:t xml:space="preserve"> </w:t>
      </w:r>
      <w:r w:rsidRPr="005540F1">
        <w:rPr>
          <w:lang w:val="en-GB"/>
        </w:rPr>
        <w:t>W</w:t>
      </w:r>
      <w:r>
        <w:rPr>
          <w:lang w:val="en-GB"/>
        </w:rPr>
        <w:t>e</w:t>
      </w:r>
      <w:r w:rsidRPr="003A14A9">
        <w:rPr>
          <w:lang w:val="en-GB"/>
        </w:rPr>
        <w:t xml:space="preserve"> assume here </w:t>
      </w:r>
      <w:r>
        <w:rPr>
          <w:bCs/>
          <w:sz w:val="22"/>
          <w:szCs w:val="22"/>
          <w:lang w:val="en-GB"/>
        </w:rPr>
        <w:t>a satellite beam providing SSB signalling</w:t>
      </w:r>
    </w:p>
  </w:footnote>
  <w:footnote w:id="2">
    <w:p w:rsidR="005540F1" w:rsidRPr="002D5E10" w:rsidRDefault="005540F1">
      <w:pPr>
        <w:pStyle w:val="Notedebasdepage"/>
        <w:rPr>
          <w:lang w:val="en-GB"/>
        </w:rPr>
      </w:pPr>
      <w:r>
        <w:rPr>
          <w:rStyle w:val="Appelnotedebasdep"/>
        </w:rPr>
        <w:footnoteRef/>
      </w:r>
      <w:r w:rsidRPr="002D5E10">
        <w:rPr>
          <w:lang w:val="en-GB"/>
        </w:rPr>
        <w:t xml:space="preserve"> </w:t>
      </w:r>
      <w:r w:rsidRPr="005540F1">
        <w:rPr>
          <w:lang w:val="en-GB"/>
        </w:rPr>
        <w:t>W</w:t>
      </w:r>
      <w:r>
        <w:rPr>
          <w:lang w:val="en-GB"/>
        </w:rPr>
        <w:t>e</w:t>
      </w:r>
      <w:r w:rsidRPr="002D5E10">
        <w:rPr>
          <w:lang w:val="en-GB"/>
        </w:rPr>
        <w:t xml:space="preserve"> assume here </w:t>
      </w:r>
      <w:r>
        <w:rPr>
          <w:bCs/>
          <w:sz w:val="22"/>
          <w:szCs w:val="22"/>
          <w:lang w:val="en-GB"/>
        </w:rPr>
        <w:t xml:space="preserve">a satellite beam providing SSB signalling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7E" w:rsidRDefault="00CB1F7E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7E" w:rsidRDefault="00CB1F7E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7E" w:rsidRDefault="00CB1F7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C2F0D0E"/>
    <w:multiLevelType w:val="hybridMultilevel"/>
    <w:tmpl w:val="034CCF0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220C98"/>
    <w:multiLevelType w:val="hybridMultilevel"/>
    <w:tmpl w:val="A5AC6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9B6E20"/>
    <w:multiLevelType w:val="hybridMultilevel"/>
    <w:tmpl w:val="919E08CA"/>
    <w:lvl w:ilvl="0" w:tplc="FB882E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22BAE"/>
    <w:multiLevelType w:val="hybridMultilevel"/>
    <w:tmpl w:val="57AE24B2"/>
    <w:lvl w:ilvl="0" w:tplc="3DEAA180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907883"/>
    <w:multiLevelType w:val="hybridMultilevel"/>
    <w:tmpl w:val="10D61DB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79866FA"/>
    <w:multiLevelType w:val="hybridMultilevel"/>
    <w:tmpl w:val="A368659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30B1B"/>
    <w:multiLevelType w:val="hybridMultilevel"/>
    <w:tmpl w:val="906E6DC6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536732"/>
    <w:multiLevelType w:val="hybridMultilevel"/>
    <w:tmpl w:val="8AC8AF2E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1BB7C70"/>
    <w:multiLevelType w:val="multilevel"/>
    <w:tmpl w:val="05EEC1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5CA3721"/>
    <w:multiLevelType w:val="hybridMultilevel"/>
    <w:tmpl w:val="1C9010E8"/>
    <w:lvl w:ilvl="0" w:tplc="7E168B6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DE46DF"/>
    <w:multiLevelType w:val="hybridMultilevel"/>
    <w:tmpl w:val="A964D96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31088"/>
    <w:multiLevelType w:val="hybridMultilevel"/>
    <w:tmpl w:val="2A8A5E7C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>
    <w:nsid w:val="7BEC6D0C"/>
    <w:multiLevelType w:val="hybridMultilevel"/>
    <w:tmpl w:val="722C93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10"/>
  </w:num>
  <w:num w:numId="8">
    <w:abstractNumId w:val="4"/>
  </w:num>
  <w:num w:numId="9">
    <w:abstractNumId w:val="0"/>
  </w:num>
  <w:num w:numId="10">
    <w:abstractNumId w:val="3"/>
  </w:num>
  <w:num w:numId="11">
    <w:abstractNumId w:val="5"/>
  </w:num>
  <w:num w:numId="12">
    <w:abstractNumId w:val="12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20F"/>
    <w:rsid w:val="00000999"/>
    <w:rsid w:val="00024805"/>
    <w:rsid w:val="00036DDF"/>
    <w:rsid w:val="00045451"/>
    <w:rsid w:val="000478A2"/>
    <w:rsid w:val="00050266"/>
    <w:rsid w:val="00053A8B"/>
    <w:rsid w:val="00067CD0"/>
    <w:rsid w:val="0007029C"/>
    <w:rsid w:val="00093481"/>
    <w:rsid w:val="000A116D"/>
    <w:rsid w:val="000B06E6"/>
    <w:rsid w:val="000D6E15"/>
    <w:rsid w:val="001411DE"/>
    <w:rsid w:val="00141FA4"/>
    <w:rsid w:val="001427AC"/>
    <w:rsid w:val="00157CAA"/>
    <w:rsid w:val="001756A7"/>
    <w:rsid w:val="001B651E"/>
    <w:rsid w:val="001C2CFB"/>
    <w:rsid w:val="001D0D5D"/>
    <w:rsid w:val="001D2770"/>
    <w:rsid w:val="001D6B0B"/>
    <w:rsid w:val="001E14CD"/>
    <w:rsid w:val="001E246F"/>
    <w:rsid w:val="0021284E"/>
    <w:rsid w:val="00256256"/>
    <w:rsid w:val="00275837"/>
    <w:rsid w:val="00285E7E"/>
    <w:rsid w:val="0028786B"/>
    <w:rsid w:val="00291C61"/>
    <w:rsid w:val="00294094"/>
    <w:rsid w:val="002A2458"/>
    <w:rsid w:val="002C2834"/>
    <w:rsid w:val="002D5E10"/>
    <w:rsid w:val="002F0EB6"/>
    <w:rsid w:val="00342213"/>
    <w:rsid w:val="003442D2"/>
    <w:rsid w:val="00346583"/>
    <w:rsid w:val="0039340F"/>
    <w:rsid w:val="00394E7B"/>
    <w:rsid w:val="003A3564"/>
    <w:rsid w:val="003C67AB"/>
    <w:rsid w:val="003E0B00"/>
    <w:rsid w:val="00440CEF"/>
    <w:rsid w:val="0048430C"/>
    <w:rsid w:val="004B38FC"/>
    <w:rsid w:val="004C69FD"/>
    <w:rsid w:val="005031A7"/>
    <w:rsid w:val="005244D2"/>
    <w:rsid w:val="00525078"/>
    <w:rsid w:val="00534D4B"/>
    <w:rsid w:val="005540F1"/>
    <w:rsid w:val="00554B07"/>
    <w:rsid w:val="0057459D"/>
    <w:rsid w:val="00592DDD"/>
    <w:rsid w:val="00592DEE"/>
    <w:rsid w:val="005A7B4E"/>
    <w:rsid w:val="005B29BB"/>
    <w:rsid w:val="005F12BF"/>
    <w:rsid w:val="0061463B"/>
    <w:rsid w:val="00621E35"/>
    <w:rsid w:val="00623DEE"/>
    <w:rsid w:val="0066216A"/>
    <w:rsid w:val="0066766B"/>
    <w:rsid w:val="00684DFB"/>
    <w:rsid w:val="00693523"/>
    <w:rsid w:val="006A10BA"/>
    <w:rsid w:val="006D0060"/>
    <w:rsid w:val="006F3244"/>
    <w:rsid w:val="00723E29"/>
    <w:rsid w:val="00774550"/>
    <w:rsid w:val="00781A89"/>
    <w:rsid w:val="0078521E"/>
    <w:rsid w:val="0079178F"/>
    <w:rsid w:val="0079616D"/>
    <w:rsid w:val="007A3322"/>
    <w:rsid w:val="007B2DDD"/>
    <w:rsid w:val="007B6070"/>
    <w:rsid w:val="007F376F"/>
    <w:rsid w:val="008168FE"/>
    <w:rsid w:val="00826C0E"/>
    <w:rsid w:val="008961FE"/>
    <w:rsid w:val="00896F47"/>
    <w:rsid w:val="00913C25"/>
    <w:rsid w:val="009422FB"/>
    <w:rsid w:val="00957113"/>
    <w:rsid w:val="00962812"/>
    <w:rsid w:val="00965CAE"/>
    <w:rsid w:val="00966C9C"/>
    <w:rsid w:val="00973EEF"/>
    <w:rsid w:val="009831E9"/>
    <w:rsid w:val="009D0C68"/>
    <w:rsid w:val="009D0ECC"/>
    <w:rsid w:val="009E44EA"/>
    <w:rsid w:val="009F678C"/>
    <w:rsid w:val="00A44046"/>
    <w:rsid w:val="00A46C59"/>
    <w:rsid w:val="00A478D1"/>
    <w:rsid w:val="00AB52DB"/>
    <w:rsid w:val="00AD04F5"/>
    <w:rsid w:val="00AD1FF8"/>
    <w:rsid w:val="00AE726F"/>
    <w:rsid w:val="00B06BF9"/>
    <w:rsid w:val="00B56812"/>
    <w:rsid w:val="00B67C49"/>
    <w:rsid w:val="00B840F1"/>
    <w:rsid w:val="00B901CF"/>
    <w:rsid w:val="00BA362B"/>
    <w:rsid w:val="00BB609C"/>
    <w:rsid w:val="00BD6644"/>
    <w:rsid w:val="00BE12F9"/>
    <w:rsid w:val="00C472BB"/>
    <w:rsid w:val="00C5100F"/>
    <w:rsid w:val="00C608A0"/>
    <w:rsid w:val="00C73C63"/>
    <w:rsid w:val="00C8227A"/>
    <w:rsid w:val="00C87BB6"/>
    <w:rsid w:val="00CB1F7E"/>
    <w:rsid w:val="00CE345A"/>
    <w:rsid w:val="00CE7D88"/>
    <w:rsid w:val="00CF6545"/>
    <w:rsid w:val="00D552AA"/>
    <w:rsid w:val="00D67DC4"/>
    <w:rsid w:val="00D73DEC"/>
    <w:rsid w:val="00D825C6"/>
    <w:rsid w:val="00DA0574"/>
    <w:rsid w:val="00DA5D8A"/>
    <w:rsid w:val="00DC6A77"/>
    <w:rsid w:val="00DE5B24"/>
    <w:rsid w:val="00DF131D"/>
    <w:rsid w:val="00E13A6E"/>
    <w:rsid w:val="00E67A7E"/>
    <w:rsid w:val="00E712FB"/>
    <w:rsid w:val="00EE1435"/>
    <w:rsid w:val="00F33897"/>
    <w:rsid w:val="00F36477"/>
    <w:rsid w:val="00F9620F"/>
    <w:rsid w:val="00FA39FB"/>
    <w:rsid w:val="00FC3468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962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962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6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6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uiPriority w:val="59"/>
    <w:rsid w:val="00F96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1">
    <w:name w:val="Medium Shading 1 Accent 1"/>
    <w:basedOn w:val="TableauNormal"/>
    <w:uiPriority w:val="63"/>
    <w:rsid w:val="00F962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gende">
    <w:name w:val="caption"/>
    <w:basedOn w:val="Normal"/>
    <w:next w:val="Normal"/>
    <w:uiPriority w:val="35"/>
    <w:unhideWhenUsed/>
    <w:qFormat/>
    <w:rsid w:val="00F9620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A478D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831E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83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31E9"/>
    <w:rPr>
      <w:rFonts w:ascii="Tahoma" w:hAnsi="Tahoma" w:cs="Tahoma"/>
      <w:sz w:val="16"/>
      <w:szCs w:val="16"/>
    </w:rPr>
  </w:style>
  <w:style w:type="paragraph" w:customStyle="1" w:styleId="3GPPHeader">
    <w:name w:val="3GPP_Header"/>
    <w:basedOn w:val="Corpsdetexte"/>
    <w:rsid w:val="0002480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2480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24805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342213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342213"/>
    <w:rPr>
      <w:rFonts w:ascii="Arial" w:eastAsia="MS Mincho" w:hAnsi="Arial" w:cs="Times New Roman"/>
      <w:b/>
      <w:noProof/>
      <w:sz w:val="18"/>
      <w:szCs w:val="20"/>
      <w:lang w:val="en-US"/>
    </w:rPr>
  </w:style>
  <w:style w:type="table" w:styleId="Trameclaire-Accent5">
    <w:name w:val="Light Shading Accent 5"/>
    <w:basedOn w:val="TableauNormal"/>
    <w:uiPriority w:val="60"/>
    <w:rsid w:val="0061463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9D0EC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D0EC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D0EC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0EC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0ECC"/>
    <w:rPr>
      <w:b/>
      <w:b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F7E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540F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540F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540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962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962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6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96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Grilledutableau">
    <w:name w:val="Table Grid"/>
    <w:basedOn w:val="TableauNormal"/>
    <w:uiPriority w:val="59"/>
    <w:rsid w:val="00F96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moyenne1-Accent1">
    <w:name w:val="Medium Shading 1 Accent 1"/>
    <w:basedOn w:val="TableauNormal"/>
    <w:uiPriority w:val="63"/>
    <w:rsid w:val="00F9620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Lgende">
    <w:name w:val="caption"/>
    <w:basedOn w:val="Normal"/>
    <w:next w:val="Normal"/>
    <w:uiPriority w:val="35"/>
    <w:unhideWhenUsed/>
    <w:qFormat/>
    <w:rsid w:val="00F9620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A478D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9831E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83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831E9"/>
    <w:rPr>
      <w:rFonts w:ascii="Tahoma" w:hAnsi="Tahoma" w:cs="Tahoma"/>
      <w:sz w:val="16"/>
      <w:szCs w:val="16"/>
    </w:rPr>
  </w:style>
  <w:style w:type="paragraph" w:customStyle="1" w:styleId="3GPPHeader">
    <w:name w:val="3GPP_Header"/>
    <w:basedOn w:val="Corpsdetexte"/>
    <w:rsid w:val="00024805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2480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24805"/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En-tteCar"/>
    <w:rsid w:val="00342213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342213"/>
    <w:rPr>
      <w:rFonts w:ascii="Arial" w:eastAsia="MS Mincho" w:hAnsi="Arial" w:cs="Times New Roman"/>
      <w:b/>
      <w:noProof/>
      <w:sz w:val="18"/>
      <w:szCs w:val="20"/>
      <w:lang w:val="en-US"/>
    </w:rPr>
  </w:style>
  <w:style w:type="table" w:styleId="Trameclaire-Accent5">
    <w:name w:val="Light Shading Accent 5"/>
    <w:basedOn w:val="TableauNormal"/>
    <w:uiPriority w:val="60"/>
    <w:rsid w:val="0061463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9D0EC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D0EC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D0EC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0EC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0ECC"/>
    <w:rPr>
      <w:b/>
      <w:bCs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1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F7E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5540F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540F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540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15CF7-10BD-4D20-B157-920CEB1C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7314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Thibault Deleu</cp:lastModifiedBy>
  <cp:revision>7</cp:revision>
  <dcterms:created xsi:type="dcterms:W3CDTF">2019-02-15T11:03:00Z</dcterms:created>
  <dcterms:modified xsi:type="dcterms:W3CDTF">2019-02-15T15:55:00Z</dcterms:modified>
</cp:coreProperties>
</file>